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7B.187/2003 vom 3. Dezember 2003</w:t>
      </w:r>
    </w:p>
    <w:p>
      <w:r>
        <w:t>Bundesgericht, 2003-12-03, FR</w:t>
      </w:r>
    </w:p>
    <w:p>
      <w:r>
        <w:rPr>
          <w:b/>
        </w:rPr>
        <w:t xml:space="preserve">Quelle: </w:t>
      </w:r>
      <w:r>
        <w:t>https://mcp.opencaselaw.ch/entscheid/bger_7B.187_2003</w:t>
      </w:r>
    </w:p>
    <w:p>
      <w:r>
        <w:t>FR: TF 7B.187/2003 du 3 décembre 2003</w:t>
      </w:r>
    </w:p>
    <w:p>
      <w:r>
        <w:t>IT: TF 7B.187/2003 del 3 dicembre 2003</w:t>
      </w:r>
    </w:p>
    <w:p>
      <w:pPr>
        <w:pStyle w:val="Heading2"/>
      </w:pPr>
      <w:r>
        <w:t>Regeste</w:t>
      </w:r>
    </w:p>
    <w:p>
      <w:r>
        <w:t>Droit des poursuites et faillites</w:t>
      </w:r>
    </w:p>
    <w:p>
      <w:pPr>
        <w:pStyle w:val="Heading2"/>
      </w:pPr>
      <w:r>
        <w:t>Erwägungen</w:t>
      </w:r>
    </w:p>
    <w:p>
      <w:r>
        <w:rPr>
          <w:b/>
        </w:rPr>
        <w:t>E. 1</w:t>
      </w:r>
    </w:p>
    <w:p>
      <w:r>
        <w:t>Lorsque le créancier qui requiert la liquidation de la faillite selon l' art. 230 al. 2 LP estime que l'avance qui lui est réclamée est trop élevée, il peut porter plainte aux autorités de surveillance cantonales conformément aux art. 17 al. 1 et 18 LP , en faisant valoir que la décision de l'office n'est pas justifiée en fait (Ernest Brand, Faillite, Liquidation sommaire, FJS 997 p. 1; cf. P.-R. Gilliéron, Commentaire de la loi fédérale sur la poursuite pour dettes et la faillite, n. 18 ad art. 230 LP ; C. Jaeger, Commentaire de la LP, 3e éd., n. 8 ad art. 230 LP ; opinion différente, mais dépourvue de justification, dans la 4e édition du même commentaire, Jaeger/Walder/Kull/Kottmann, n. 11 ad art. 230 LP ). La question du montant de la sûreté à fournir étant une pure question d'appréciation (cf. Brand, loc. cit.), le recours au Tribunal fédéral n'est recevable que pour abus ou excès du pouvoir d'appréciation ( art. 19 al. 1 LP ; ATF 106 III 75 consid. 2 p. 78; Flavio Cometta, Kommentar zum Bundesgesetz über Schuldbetreibung und Konkurs, n. 15 ad art. 19 LP ). Commet un abus ou un excès de son pouvoir d'appréciation, l'autorité qui retient des critères inappropriés ou ne tient pas compte de circonstances pertinentes ( ATF 110 III 17 consid. 2 p. 18 et arrêts cités), rend une décision déraisonnable, contraire au bon sens ou heurtant le but de la procédure de faillite, voire arbitraire ( ATF 123 III 274 consid. 1a/cc et arrêt cité; Sandoz-Monod, Commentaire de la loi fédérale d'organisation judiciaire, vol. II, Berne 1990, p. 721 s. et la jurisprudence citée; Cometta, loc. cit.).</w:t>
      </w:r>
    </w:p>
    <w:p>
      <w:r>
        <w:rPr>
          <w:b/>
        </w:rPr>
        <w:t>E. 2</w:t>
      </w:r>
    </w:p>
    <w:p>
      <w:r>
        <w:t>Dans sa plainte, la recourante évaluait à 6'280 fr. les frais futurs de liquidation de la faillite en la forme sommaire, compte tenu du nombre des créanciers (40) et des émoluments prévus par l'OELP (RS 281.35) pour les différentes opérations de liquidation. Aux yeux de la Commission cantonale de surveillance, cette estimation des frais futurs touchant au passif de la faillite est apparue minimaliste en raison, d'une part, du montant des prétentions des créanciers (quelque 500 millions de francs) et, d'autre part, de la complexité de l'étude de certaines productions et de l'éventualité d'actions en contestation de l'état de collocation. Par ailleurs, la recourante avait ignoré les frais futurs relatifs à la détermination des actifs de la faillie, ainsi qu'à leur administration et leur réalisation, frais évalués de la manière suivante par l'office: 20'000 fr. pour l'analyse comptable globale de la faillie par une fiduciaire ou un expert-comptable, vu l'insuffisance des indications figurant au bilan établi par l'organe de révision de la faillie, et la possibilité que des créances contre des débiteurs commerciaux ou des sociétés du groupe constituent des actifs réalisables (consid. 4b); 10'000 fr. pour un travail d'investigation considérable, par un professionnel à Luxembourg, en vue du recouvrement, au moins partiel, d'une créance de 135'452'986 fr. 22 contre une société luxembourgeoise en faillite (consid. 4c); 10'000 fr. pour le recouvrement, par un mandataire à l'étranger, d'une créance de 46'833'148 fr. 62 contre le dénommé S.________, créance d'ailleurs non contestée (consid. 4d); 10'000 fr. pour des investigations et des démarches à l'étranger, en particulier en Amérique du Sud, concernant des participations éventuelles de la faillie dans la N.________ (consid. 4e). A ces frais futurs de liquidation de la faillite, totalisant 50'000 fr., s'ajouteraient encore, selon la Commission cantonale de surveillance, des frais de même nature portant sur d'autres éléments d'actifs, comme une créance contre la SI F.________, évalués à 1'000 fr., ainsi que plus de 6'000 fr. au titre des frais relatifs au passif et à la distribution (consid. 4f).</w:t>
      </w:r>
    </w:p>
    <w:p>
      <w:r>
        <w:rPr>
          <w:b/>
        </w:rPr>
        <w:t>E. 3.1</w:t>
      </w:r>
    </w:p>
    <w:p>
      <w:r>
        <w:t>La recourante reproche à la Commission cantonale de surveillance d'avoir totalement méconnu qu'en l'espèce l'estimation des biens de la faillie et l'inventaire avaient déjà été faits par l'office, l'inventaire étant d'ailleurs entré en force faute d'avoir été attaqué. Il s'ensuivrait, selon elle, que la décision entreprise violerait le droit fédéral en retenant que le montant de 50'000 fr. devrait être consacré en tout ou partie à la détermination et à l'estimation des biens de la faillie. Loin d'établir un abus ou un excès du pouvoir d'appréciation de la part de l'autorité cantonale, la recourante relève elle-même qu'une nouvelle estimation est possible dans certains cas particuliers. Certes, dans la liquidation sommaire, les intéressés n'ont en principe pas droit à l'exécution d'une seconde estimation de droits de propriété mobilière ou de créances (Gilliéron, op. cit., n. 29 ad art. 231 LP et la jurisprudence citée); encore faut-il toutefois qu'une première estimation ait effectivement eu lieu. Dans l'inventaire qu'il a dressé, l'office s'est borné à mentionner les divers biens immobiliers, papiers-valeurs, créances et droits de la faillie "pour mémoire", donc sans indication de leur valeur, tout en renvoyant à des postes du bilan établi par l'organe de révision de la faillie. La Commission cantonale de surveillance constate que, si la liquidation devait se poursuivre, l'office ne pourrait se contenter des indications figurant audit bilan, vu l'incertitude régnant au sujet de certaines créances présentées comme amorties, la relative complexité de la situation et le fait que le recouvrement desdites créances dépend essentiellement d'issues juridiques et d'investigations à l'étranger. La recourante se contente d'affirmer que "les actifs de la faillite ont déjà été estimés"; elle ne démontre pas que l'autorité cantonale se serait fondée sur des critères inappropriés ou aurait retenu des circonstances non pertinentes, voire que sa décision serait contraire au but de la procédure de faillite ou tout simplement arbitraire.</w:t>
      </w:r>
    </w:p>
    <w:p>
      <w:r>
        <w:rPr>
          <w:b/>
        </w:rPr>
        <w:t>E. 3.2</w:t>
      </w:r>
    </w:p>
    <w:p>
      <w:r>
        <w:t>Les biens existant à l'étranger doivent aussi être portés à l'inventaire ( art. 27 al. 1 OAOF [RS 281.32]). Ils sont estimés de la même manière que s'ils étaient localisés en Suisse et selon les mêmes critères, l'office des faillites pouvant recourir à l'entraide internationale ou désigner un expert qui mettra en oeuvre un correspondant à l'étranger (Gilliéron, op. cit., n. 19 ad art. 227 LP ; Urs Lustenberger, Kommentar zum Bundesgesetz über Schuldbetreibung und Konkurs, n. 9 ad art. 221 LP ). C'est dès lors à tort que la recourante laisse entendre que l'office n'aurait pas à entreprendre de démarches à cet effet au Luxembourg et en Argentine.</w:t>
      </w:r>
    </w:p>
    <w:p>
      <w:r>
        <w:rPr>
          <w:b/>
        </w:rPr>
        <w:t>E. 4</w:t>
      </w:r>
    </w:p>
    <w:p>
      <w:r>
        <w:t>Il résulte de ce qui précède que le recours doit être rejeté dans la mesure de sa recevabilité. Vu l'octroi de l'effet suspensif, l'office devra impartir à la recourante un nouveau délai de paiement de l'avance de frais litigieuse.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