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7B.183/2003 vom 28. August 2003</w:t>
      </w:r>
    </w:p>
    <w:p>
      <w:r>
        <w:t>Bundesgericht, 2003-08-28, DE</w:t>
      </w:r>
    </w:p>
    <w:p>
      <w:r>
        <w:rPr>
          <w:b/>
        </w:rPr>
        <w:t xml:space="preserve">Quelle: </w:t>
      </w:r>
      <w:r>
        <w:t>https://mcp.opencaselaw.ch/entscheid/bger_7B.183_2003</w:t>
      </w:r>
    </w:p>
    <w:p>
      <w:r>
        <w:t>FR: TF 7B.183/2003 du 28 août 2003</w:t>
      </w:r>
    </w:p>
    <w:p>
      <w:r>
        <w:t>IT: TF 7B.183/2003 del 28 agosto 2003</w:t>
      </w:r>
    </w:p>
    <w:p>
      <w:pPr>
        <w:pStyle w:val="Heading2"/>
      </w:pPr>
      <w:r>
        <w:t>Erwägungen</w:t>
      </w:r>
    </w:p>
    <w:p>
      <w:r>
        <w:rPr>
          <w:b/>
        </w:rPr>
        <w:t>E. 1</w:t>
      </w:r>
    </w:p>
    <w:p>
      <w:r>
        <w:t>Mit Beschwerde an das Bundesgericht nach Art. 19 SchKG kann einzig geltend gemacht werden, der angefochtene Entscheid beruhe auf einer Verletzung von Bundesrecht oder von völkerrechtlichen Verträgen des Bundes; dagegen bleibt wegen Verletzung verfassungsmässiger Rechte des Bürgers die staatsrechtliche Beschwerde vorbehalten (Art. 43 Abs. 1 i.V.m. Art. 81 OG ; BGE 107 III 11 E. 1 S. 12; 126 III 30 E. 1c S. 32). Demzufolge kann nicht auf die Beschwerde eingetreten werden, soweit der Beschwerdeführer die Verletzung von Verfassungsrecht, insbesondere der Glaubensfreiheit ( Art. 15 BV ), geltend macht.</w:t>
      </w:r>
    </w:p>
    <w:p>
      <w:r>
        <w:rPr>
          <w:b/>
        </w:rPr>
        <w:t>E. 2</w:t>
      </w:r>
    </w:p>
    <w:p>
      <w:r>
        <w:t>Gemäss Art. 92 SchKG sind bestimmte Vermögenswerte aus moralischen, sozialen und wirtschaftlichen Gründen oder mit Rücksicht auf deren besondere Natur gänzlich unpfändbar. Durch den Verweis in Art. 224 SchKG ist diese Bestimmung grundsätzlich auch bei einem Konkursverfahren anwendbar.</w:t>
      </w:r>
    </w:p>
    <w:p>
      <w:r>
        <w:rPr>
          <w:b/>
        </w:rPr>
        <w:t>E. 2.1</w:t>
      </w:r>
    </w:p>
    <w:p>
      <w:r>
        <w:t>Zur Geltendmachung der Unpfändbarkeit nach Art. 92 SchKG ist in erster Linie der Schuldner befugt. Jedoch steht dieses Recht auch seinen Familienangehörigen, welche mit ihm in einer Hausgemeinschaft leben, gegenüber der Pfändung von Gegenständen zu, die sie gemäss Art. 92 Abs. 1 Ziff. 1-5 SchKG als nicht nur dem Schuldner, sondern auch ihnen persönlich unentbehrlich beanspruchen ( BGE 82 III 54 ; 85 III 65 E. 2 S. 66 f.; 91 III 52 E. 1 S. 55; Georges Vonder Mühll, in: Staehelin/Bauer/Staehelin, Kommentar zum Bundesgesetz über Schuldbetreibung und Konkurs, N. 10 und 64 zu Art. 92 SchKG ).</w:t>
      </w:r>
    </w:p>
    <w:p>
      <w:r>
        <w:rPr>
          <w:b/>
        </w:rPr>
        <w:t>E. 2.2</w:t>
      </w:r>
    </w:p>
    <w:p>
      <w:r>
        <w:t>Dieses Recht bleibt ihnen nach dem Tod des Schuldners erhalten: Bereits in BGE 22 I 699 hat das Bundesgericht entschieden, dass bei der konkursamtlichen Liquidation der Erbschaft die Familienangehörigen, obwohl sie die Erbschaft ausgeschlagen haben, die Unpfändbarkeit von Gegenständen geltend machen können. Auch die Lehre geht mehrheitlich davon aus, dass die Kompetenzstücke gemäss Art. 92 Abs. 1 Ziff. 1-5 SchKG zu Gunsten der Familienangehörigen aus der zu liquidierenden Erbschaft auszuscheiden sind (Jaeger/Walder/Kull/Kottmann, Bundesgesetz über Schuldbetreibung und Konkurs, N. 13 zu Art. 193 SchKG ; Sandra Laydu Molinari, La poursuite pour les dettes successorales, Diss. Lausanne 1999, S. 52 f.; Erich Bürgi, Probleme im Nachlasskonkurs, BlSchK 1948 S. 112 f.; a. M.: Eugen Meier, Die Beschränkungen der Zwangsvollstreckung nach schweizerischem Recht, Diss. Zürich 1907, S. 85). Damit ist der Beschwerdeführer im vorliegenden Fall legitimiert, die Unpfändbarkeit der strittigen Gegenstände geltend zu machen.</w:t>
      </w:r>
    </w:p>
    <w:p>
      <w:r>
        <w:rPr>
          <w:b/>
        </w:rPr>
        <w:t>E. 3</w:t>
      </w:r>
    </w:p>
    <w:p>
      <w:r>
        <w:t>Unpfändbar nach Art. 92 Abs. 1 Ziff. 2 SchKG sind die religiösen Erbauungsbücher und Kultusgegenstände. Unter Kultusgegenständen sind bewegliche Sachen zu verstehen, welche zur Ausübung gottesdienstlicher Handlungen verwendet werden oder Gegenstand religiöser Verehrung bilden ( BGE 61 III 44 S. 45; 88 III 47 S. 48). Die in BGE 88 III 47 S. 48 f. vertretene Auffassung, der Schuldner bzw. dessen Familienangehöriger müsse jener Religion angehören, welcher der betreffende Kultusgegenstand zuzuordnen ist, darf zwar nicht zu eng verstanden werden. Jedoch bleibt Voraussetzung, dass der betreffende Kultusgegenstand tatsächlich Objekt einer religiösen Verehrung bildet. In dieser Hinsicht hat die Aufsichtsbehörde allerdings festgehalten, es sei weder nachgewiesen noch glaubhaft, dass sich der Beschwerdeführer bei der Ausübung seines Glaubens der Ikone und der Heiligenstatue tatsächlich bediene. An diese tatsächliche Feststellung ist die erkennende Kammer gebunden (Art. 63 Abs. 2 i.V.m. Art. 81 OG ; BGE 119 III 54 E. 2b S. 55; 124 III 286 E. 3b S. 288). Damit weisen die beiden strittigen Gegenstände für den Beschwerdeführer keinen Kompetenzcharakter auf und sind daher auch nicht unpfändbar bzw. fallen in den Konkursnachlass.</w:t>
      </w:r>
    </w:p>
    <w:p>
      <w:r>
        <w:rPr>
          <w:b/>
        </w:rPr>
        <w:t>E. 4</w:t>
      </w:r>
    </w:p>
    <w:p>
      <w:r>
        <w:t>Demnach ist die Beschwerde abzuweisen, soweit darauf eingetreten werden kann.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