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7B.172/2002 vom 12. November 2002</w:t>
      </w:r>
    </w:p>
    <w:p>
      <w:r>
        <w:t>Bundesgericht, 2002-11-12, FR</w:t>
      </w:r>
    </w:p>
    <w:p>
      <w:r>
        <w:rPr>
          <w:b/>
        </w:rPr>
        <w:t xml:space="preserve">Quelle: </w:t>
      </w:r>
      <w:r>
        <w:t>https://mcp.opencaselaw.ch/entscheid/bger_7B.172_2002</w:t>
      </w:r>
    </w:p>
    <w:p>
      <w:r>
        <w:t>FR: TF 7B.172/2002 du 12 novembre 2002</w:t>
      </w:r>
    </w:p>
    <w:p>
      <w:r>
        <w:t>IT: TF 7B.172/2002 del 12 novembre 2002</w:t>
      </w:r>
    </w:p>
    <w:p>
      <w:pPr>
        <w:pStyle w:val="Heading2"/>
      </w:pPr>
      <w:r>
        <w:t>Regeste</w:t>
      </w:r>
    </w:p>
    <w:p>
      <w:r>
        <w:t>Droit des poursuites et faillites</w:t>
      </w:r>
    </w:p>
    <w:p>
      <w:pPr>
        <w:pStyle w:val="Heading2"/>
      </w:pPr>
      <w:r>
        <w:t>Erwägungen</w:t>
      </w:r>
    </w:p>
    <w:p>
      <w:r>
        <w:rPr>
          <w:b/>
        </w:rPr>
        <w:t>E. 1</w:t>
      </w:r>
    </w:p>
    <w:p>
      <w:r>
        <w:t>La recourante reproche à l'autorité cantonale de surveillance de s'être fondée sur des déclarations inexactes de l'office, partant sur un état de fait erroné. A l'appui de ce grief, elle produit des pièces nouvelles.</w:t>
      </w:r>
    </w:p>
    <w:p>
      <w:r>
        <w:rPr>
          <w:b/>
        </w:rPr>
        <w:t>E. 1.1</w:t>
      </w:r>
    </w:p>
    <w:p>
      <w:r>
        <w:t>Les renseignements sur les faits donnés par l'autorité de poursuite ou l'organe d'exécution forcée dans sa réponse à la plainte ne constituent pas des allégations de faits, assimilables à celles qui émanent des parties, mais des constatations officielles de faits que l'autorité de surveillance a le droit et le devoir de vérifier. Le recourant a le droit de produire de nouvelles pièces devant l'autorité fédérale de surveillance pour en démontrer l'inexactitude (Gilliéron, Commentaire de la loi fédérale sur la poursuite pour dettes et la faillite, n. 39 ad art. 19 LP et la jurisprudence citée).</w:t>
      </w:r>
    </w:p>
    <w:p>
      <w:r>
        <w:rPr>
          <w:b/>
        </w:rPr>
        <w:t>E. 1.2</w:t>
      </w:r>
    </w:p>
    <w:p>
      <w:r>
        <w:t>Il ressort des nouvelles pièces produites que l'administration spéciale avait adressé au mandataire de la recourante, le 8 juillet 1997, un "décompte final" de la vente de l'immeuble en cause, faisant état d'un produit net de 33'511 fr. ainsi que de frais d'exploitation de 28'988 fr. 90 pour la période de février 1993 au 31 décembre 1996. Un tableau de répartition avait également été établi et joint à l'envoi du 8 juillet 1997. Donnant suite à un rappel de la recourante du 28 novembre 1998 concernant le versement du montant de 33'511 fr., l'office avait prié celle-ci, par lettre du 2 décembre 1998, de patienter jusqu'à ce que toute la situation comptable du dossier soit mise à jour. Il avait en effet constaté "à la reprise de ce dossier volumineux que depuis mi-1997 la comptabilité n'a[vait] plus été tenue, les décomptes des frais de réalisation et de transfert de propriété avec les acquéreurs pas faits et la correspondance laissée en suspens"; c'est pourquoi il avait mandaté une fiduciaire. On comprend, à la lumière de ces faits nouveaux, que la recourante soutienne qu'une mise à jour de la comptabilité n'avait pas à porter sur le décompte final en question, établi avant mi-1997, soit avant que la comptabilité ait cessé d'être tenue. De plus, les fonds devaient être débloqués, au dire de l'office, "dès que nous pourrons déposer tous les tableaux de distributions". Or, un tableau de répartition concernant l'immeuble en cause avait alors déjà été déposé et porté à la connaissance de la créancière gagiste conformément à l' art. 263 LP . Ces considérations permettent tout au plus de conclure à l'existence d'une certaine contradiction entre les propos tenus par l'office dans son courrier du 2 décembre 1998 et le point de vue qu'il a exprimé - après mise à jour de la comptabilité - dans sa détermination sur la plainte; elles ne sauraient en tous les cas avoir une incidence sur le sort du présent recours, qui doit être admis pour un autre motif.</w:t>
      </w:r>
    </w:p>
    <w:p>
      <w:r>
        <w:rPr>
          <w:b/>
        </w:rPr>
        <w:t>E. 2</w:t>
      </w:r>
    </w:p>
    <w:p>
      <w:r>
        <w:t>En vertu de l' art. 262 al. 2 LP , le produit des biens remis en gage ne sert à couvrir que les frais d'inventaire, d'administration et de réalisation du gage. Aussi, lorsqu'il examine si le produit des biens inventoriés suffit à couvrir les frais d'une liquidation ordinaire ( art. 231 al. 1 ch. 1 LP ), l'office doit-il prendre en considération que seul le surplus éventuel de la réalisation des biens remis en gage servira à couvrir les frais généraux de la faillite ( art. 39 al. 1 et 85 OAOF ). Il découle de ces dispositions que le produit des biens mis en gage ne peut pas être employé à couvrir les frais généraux de la faillite (cf. C. Jäger, Commentaire de la LP, n. 4 ad art. 262 LP ; SchKG-M. Staehelin, n. 42 ad art. 262 LP ). En conséquence, le décompte et le tableau de distribution du 31 mai 2002 doivent être annulés dans toute la mesure où ils mettent à la charge de la recourante des frais autres que ceux d'inventaire, d'administration et de réalisation de l'immeuble objet de son droit de gage. Ainsi en va-t-il tout spécialement des émoluments/débours et autres débours du compte "administration générale" déduits au titre de couverture du dommage causé par l'an-cienne administration de la faillite. La réparation d'un tel dommage relève d'ailleurs de la compétence du juge, non de celle des autorités de poursuite et de surveillance ( ATF 118 III 1 consid. 2b).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