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7B.171/2006 vom 18. Januar 2007</w:t>
      </w:r>
    </w:p>
    <w:p>
      <w:r>
        <w:t>Bundesgericht, 2007-01-18, FR</w:t>
      </w:r>
    </w:p>
    <w:p>
      <w:r>
        <w:rPr>
          <w:b/>
        </w:rPr>
        <w:t xml:space="preserve">Quelle: </w:t>
      </w:r>
      <w:r>
        <w:t>https://mcp.opencaselaw.ch/entscheid/bger_7B.171_2006</w:t>
      </w:r>
    </w:p>
    <w:p>
      <w:r>
        <w:t>FR: TF 7B.171/2006 du 18 janvier 2007</w:t>
      </w:r>
    </w:p>
    <w:p>
      <w:r>
        <w:t>IT: TF 7B.171/2006 del 18 gennaio 2007</w:t>
      </w:r>
    </w:p>
    <w:p>
      <w:pPr>
        <w:pStyle w:val="Heading2"/>
      </w:pPr>
      <w:r>
        <w:t>Regeste</w:t>
      </w:r>
    </w:p>
    <w:p>
      <w:r>
        <w:t>vente mobilière aux enchères | Droit des poursuites et faillites</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(OJ) est applicable en vertu de l' art. 132 al. 1 LTF .</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Dans la mesure où le recourant s'écarte des constatations de fait de la décision attaquée, sans se prévaloir de l'une des exceptions mentionnées ci-dessus, son recours est irrecevable. Ainsi en va-t-il tout spécialement de ses développements concernant la valeur vénale des actions, point d'ailleurs définitivement tranché par l'arrêt du Tribunal fédéral du 1er mars 2006.</w:t>
      </w:r>
    </w:p>
    <w:p>
      <w:r>
        <w:rPr>
          <w:b/>
        </w:rPr>
        <w:t>E. 3</w:t>
      </w:r>
    </w:p>
    <w:p>
      <w:r>
        <w:t>A l'appui de son grief de violation de l' art. 8 CC , le recourant reproche à la Commission cantonale de surveillance de n'avoir pas tenu compte des moyens de preuve produits (bilans des sociétés immobilières, expertises sur la valeur réelle du capital-actions), lesquels auraient dû inévitablement l'amener à constater que la triple garantie à laquelle le prêt avait été accordé constituait une condition indivisible. L' art. 8 CC ne s'oppose pas à une appréciation anticipée des preuves ( ATF 109 II 26 consid. 3b p. 31, 105 II 143 ss et les arrêts cités). Lorsque le juge acquiert la conviction que la réalité ou l'inexistence d'un fait est établie, sur la base d'une appréciation des preuves déjà administrées, la question de la répartition du fardeau de la preuve ne se pose plus et le grief de violation de l' art. 8 CC devient sans objet ( ATF 111 II 378 consid. 3a p. 381, 109 II 245 consid. 5 p. 251 in fine). L' art. 8 CC ne saurait être invoqué pour tenter de faire corriger l'appréciation des preuves ( ATF 114 II 289 consid. 2a p. 291). L'appréciation des preuves, à savoir en particulier le contrat de prêt du 13 décembre 1989 et une convention postérieure du 27 mars 2002 réglant l'exécution d'une cession des loyers, a convaincu la Commission cantonale de surveillance de l'existence de trois garanties distinctes et indépendantes l'une de l'autre; dès lors, la question de l'application de l' art. 8 CC ne se pose plus et seul le moyen tiré d'une appréciation arbitraire des preuves, à invoquer impérativement dans un recours de droit public, est recevable ( ATF 127 III 248 consid. 3a p. 253, 519 consid. 2a; 119 II 114 consid. 4c p. 117). Le grief de violation de l' art. 8 CC est par conséquent dénué de toute consistance.</w:t>
      </w:r>
    </w:p>
    <w:p>
      <w:r>
        <w:rPr>
          <w:b/>
        </w:rPr>
        <w:t>E. 4</w:t>
      </w:r>
    </w:p>
    <w:p>
      <w:r>
        <w:t>Le recourant fait grief à la Commission cantonale de surveillance d'avoir insuffisamment motivé son rejet des arguments concernant la "qualité indissociable des trois volets de la clause de garantie du prêt du 13 décembre 1989". Pour qu'une motivation réponde à l'exigence posée par l' art. 20a al. 2 ch. 4 LP , il faut - et il suffit - que les intéressés puissent discerner la portée de la décision et les motifs qui ont guidé l'autorité, et qu'ils soient ainsi en mesure de recourir en pleine connaissance de cause (P.-R. Gilliéron, Commentaire de la loi fédérale sur la poursuite pour dettes et la faillite, n. 95 et 106 s. ad art. 20a LP ; Flavio Cometta, Kommentar zum Bundesgesetz über Schuldbetreibung und Konkurs, n. 40 ad art. 20a LP ). Pour conclure que le crédit octroyé au débiteur le 13 décembre 1989 était assorti de trois garanties distinctes et indépendantes l'une de l'autre, la Commission cantonale de surveillance a rappelé en substance le contenu du contrat de crédit lui-même et celui de la convention postérieure du 27 mars 2002 laquelle, à son avis, avait réglé l'exécution de la cession de loyers en question sans toucher aux deux autres garanties. Une telle motivation doit être considérée comme suffisante. Une éventuelle appréciation arbitraire de la volonté subjective des parties ainsi établie ( ATF 118 II 365 consid. 1) relève du recours de droit public. Le grief de motivation insuffisante est donc mal fondé.</w:t>
      </w:r>
    </w:p>
    <w:p>
      <w:r>
        <w:rPr>
          <w:b/>
        </w:rPr>
        <w:t>E. 5</w:t>
      </w:r>
    </w:p>
    <w:p>
      <w:r>
        <w:t>Le recourant se prévaut de l' art. 644 CC , en tant que cette disposition prévoit que tout acte de disposition relatif à la chose principale s'étend aux accessoires (al. 1). Il part du constat que les actions de la SI sont la chose principale et que les créances chirographaires et les loyers en sont les accessoires. Or, ce constat n'est pas celui que la Commission cantonale de surveillance a établi sur la base de son appréciation des preuves et d'après lequel il existe trois garanties distinctes et indépendantes l'une de l'autre. Le Tribunal fédéral étant lié par cette constatation de fait de la décision attaquée ( art. 63 al. 2 et 81 OJ ), le grief du recourant tombe donc à faux.</w:t>
      </w:r>
    </w:p>
    <w:p>
      <w:r>
        <w:rPr>
          <w:b/>
        </w:rPr>
        <w:t>E. 6</w:t>
      </w:r>
    </w:p>
    <w:p>
      <w:r>
        <w:t>Le grief tiré des prétendus vices de la procédure de vente aux enchères litigieuse n'est pas motivé d'une façon conforme aux exigences de l' art. 79 al. 1 OJ . En effet, alors que la Commission cantonale de surveillance a clairement exposé les motifs, fondés sur le droit fédéral (art. 122 à 132a LP, notamment art. 125 s. LP, art. 58 à 60 ORFI par analogie), de considérer comme correcte la procédure de vente menée par l'office, le recourant se contente d'exposer son propre point de vue et de prétendre que l'autorité cantonale n'a pas fait droit à sa plainte. Contrairement à l'exigence légale, il n'indique pas en quoi les règles de droit fédéral déterminantes appliquées en l'espèce auraient été violées. Le recours est donc irrecevable sur ce point.</w:t>
      </w:r>
    </w:p>
    <w:p>
      <w:r>
        <w:rPr>
          <w:b/>
        </w:rPr>
        <w:t>E. 7</w:t>
      </w:r>
    </w:p>
    <w:p>
      <w:r>
        <w:t>Il résulte de ce qui précède que le recours doit être rejeté dans la mesure de sa recevabilité. Conformément aux art. 20a al. 1 aLP (cf. annexe selon l' art. 131 al. 2 LTF , ch. 6), 61 al. 2 let. a et 62 al. 2 OELP,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