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7B.169/2004 vom 15. September 2004</w:t>
      </w:r>
    </w:p>
    <w:p>
      <w:r>
        <w:t>Bundesgericht, 2004-09-15, FR</w:t>
      </w:r>
    </w:p>
    <w:p>
      <w:r>
        <w:rPr>
          <w:b/>
        </w:rPr>
        <w:t xml:space="preserve">Quelle: </w:t>
      </w:r>
      <w:r>
        <w:t>https://mcp.opencaselaw.ch/entscheid/bger_7B.169_2004</w:t>
      </w:r>
    </w:p>
    <w:p>
      <w:r>
        <w:t>FR: TF 7B.169/2004 du 15 septembre 2004</w:t>
      </w:r>
    </w:p>
    <w:p>
      <w:r>
        <w:t>IT: TF 7B.169/2004 del 15 settembre 2004</w:t>
      </w:r>
    </w:p>
    <w:p>
      <w:pPr>
        <w:pStyle w:val="Heading2"/>
      </w:pPr>
      <w:r>
        <w:t>Regeste</w:t>
      </w:r>
    </w:p>
    <w:p>
      <w:r>
        <w:t>Droit des poursuites et faillites</w:t>
      </w:r>
    </w:p>
    <w:p>
      <w:pPr>
        <w:pStyle w:val="Heading2"/>
      </w:pPr>
      <w:r>
        <w:t>Erwägungen</w:t>
      </w:r>
    </w:p>
    <w:p>
      <w:r>
        <w:rPr>
          <w:b/>
        </w:rPr>
        <w:t>E. 1</w:t>
      </w:r>
    </w:p>
    <w:p>
      <w:r>
        <w:t>L'autorité de poursuite ou l'organe de l'exécution forcée dont la décision ou la mesure a été attaquée peut, dans certains cas, avoir qualité pour recourir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119 III 4 consid. 1; 117 III 39 consid. 2; 116 III 32 consid. 1; Gilliéron, op. cit., n. 9 ad art. 240 LP ; Flavio Cometta, Kommentar zum Bundesgesetz über Schuldbetreibung und Konkurs, n. 19 ad art. 19 LP ). En l'espèce, l'office des faillite justifie de sa qualité pour recourir en faisant valoir qu'il ne peut pas, en l'état, informer tous les créanciers de ses constatations, qu'il ne pourra peut-être jamais le faire si la faillite est suspendue faute d'actif et que, dans la mesure où l'injonction qui lui a été faite d'informer les créanciers peut ainsi l'amener à une impasse juridique, ses intérêts sont en jeu; il invoque également l'intérêt de l'ensemble des créanciers, en cas de déchéance du droit de répudier prononcée par le juge, à être libérés des contraintes formelles (respect des délais LP) et financières (avance des frais); il soutient enfin qu'il lui appartient de réduire les frais à charge des créanciers et qu'il pourrait, en agissant en vue d'une révocation de la répudiation, augmenter la surface patrimoniale destinée à les désintéresser. Les intérêts invoqués sont plutôt théoriques et relèvent davantage des simples inconvénients. L'on ne voit pas en quoi concrètement la décision attaquée léserait les intérêts de l'ensemble des créanciers. A vrai dire, l'office, qui est lié par l'injonction contenue dans la décision attaquée, paraît vouloir faire prévaloir son opinion sur celle de l'autorité cantonale de surveillance, ce qui est inadmissible ( ATF 116 III 32 consid. 1, 108 III 26 consid. 2, 103 III 8 consid. 1). La question de la qualité pour recourir de l'office dans le cas particulier peut toutefois demeurer indécise, car le recours doit de toute façon être rejeté.</w:t>
      </w:r>
    </w:p>
    <w:p>
      <w:r>
        <w:rPr>
          <w:b/>
        </w:rPr>
        <w:t>E. 2</w:t>
      </w:r>
    </w:p>
    <w:p>
      <w:r>
        <w:t>En vertu de l' art. 193 LP , l'autorité compétente informe le juge de la faillite de ce que tous les héritiers ont expressément répudié la succession ou que celle-ci est réputée répudiée (al. 1 ch. 1); dans ce cas, le juge ordonne la liquidation selon les règles de la faillite (al. 2).</w:t>
      </w:r>
    </w:p>
    <w:p>
      <w:r>
        <w:rPr>
          <w:b/>
        </w:rPr>
        <w:t>E. 2.1</w:t>
      </w:r>
    </w:p>
    <w:p>
      <w:r>
        <w:t>Contre ce prononcé de faillite, seules les parties à la procédure de première instance sont habilitées à recourir ( ATF 123 III 402 consid. 3a), ce qui exclut en principe la qualité pour recourir de l'office des faillites, ainsi qu'en a décidé la Cour de justice dans son arrêt du 13 mai 2004 (consid. 4.1, p. 9/10). La jurisprudence cantonale sur ce point est toutefois contradictoire (Gilliéron, op. cit., n. 33 ad art. 174 LP ; cf., en outre, BlSchK 2002, p. 28).</w:t>
      </w:r>
    </w:p>
    <w:p>
      <w:r>
        <w:rPr>
          <w:b/>
        </w:rPr>
        <w:t>E. 2.2</w:t>
      </w:r>
    </w:p>
    <w:p>
      <w:r>
        <w:t>Lorsque l'autorité judiciaire ordonne, en vertu de sa compétence d'attribution, un acte de poursuite qui doit être exécuté par une autorité de poursuite, comme c'est le cas lorsque le juge déclare la faillite d'une succession répudiée selon l' art. 193 al. 1 ch. 1 et al. 2 LP (Gilliéron, op. cit., n. 38 ad 17 LP), l'autorité de poursuite n'est tenue d'exécuter l'acte en question que s'il est conforme à la loi, c'est-à-dire émane d'une autorité compétente et respecte les dispositions de la LP (Gilliéron, op. cit., n. 41 ad 17 LP et la jurisprudence citée). Un office des faillites n'est en particulier pas lié par un jugement de faillite lorsque la procédure de poursuite antérieure à la requête de faillite ou la procédure sommaire devant le juge de la faillite sont affectées d'un vice qui est une cause de nullité absolue (Gilliéron, op. cit., n. 34 ad art. 174 et les références). En revanche, il est lié par les décisions du juge qui tranchent des questions de droit matériel, les autorités de poursuite n'étant pas compétentes pour examiner de telles questions ( ATF 115 III 18 consid. 3b; 113 II 2 consid. 2b).</w:t>
      </w:r>
    </w:p>
    <w:p>
      <w:r>
        <w:rPr>
          <w:b/>
        </w:rPr>
        <w:t>E. 2.3</w:t>
      </w:r>
    </w:p>
    <w:p>
      <w:r>
        <w:t>Le point de savoir si un héritier est déchu du droit de répudier la succession au sens de l' art. 571 al. 2 CC est une question de droit matériel. Il n'appartient donc pas à l'office des faillites chargé de liquider la succession répudiée de se prononcer sur la déchéance du droit de répudier (cf. Paul Piotet, Droit successoral, Traité de droit privé suisse, t. IV, p. 518; Escher, Commentaire zurichois, n. 19 ad art. 571 CC ; Tuor/Picenoni, Commentaire bernois, n. 8a ad art. 571 CC ). L'office doit procéder aux actes de liquidation et se contenter d'informer les créanciers, le cas échéant, de ses constatations concernant une éventuelle immixtion, afin que chaque créancier soit en mesure de faire constater, par la voie d'une action en justice contre l'héritier qui s'est immiscé, qu'il est déchu du droit de répudier et répond personnellement des dettes dépassant le montant non couvert par le dividende de la faillite (BlSchK 1981, p. 93).</w:t>
      </w:r>
    </w:p>
    <w:p>
      <w:r>
        <w:rPr>
          <w:b/>
        </w:rPr>
        <w:t>E. 2.4</w:t>
      </w:r>
    </w:p>
    <w:p>
      <w:r>
        <w:t>Lorsque l'immixtion est manifeste, on peut concevoir que l'office des faillites se voie reconnaître la compétence d'attaquer la décision du juge qui ordonne la liquidation de la succession par voie de faillite (cf. BlSchK 2002, p. 28; Tuor/Picenoni, loc. cit.). En l'espèce, toutefois, les héritiers ont formellement contesté s'être immiscés dans la succession et l'hypothèse d'une immixtion manifeste n'était pas réalisée, qui aurait pu éventuellement légitimer un recours de l'office. En dehors de ce cas, on ne saurait admettre que l'office des faillites saisisse lui-même, à la place du ou des créanciers intéressés, le juge compétent pour statuer au fond sur la déchéance du droit de répudier. Dans la mesure où il tend essentiellement à cela, le présent recours ne peut qu'être rejeté.</w:t>
      </w:r>
    </w:p>
    <w:p>
      <w:r>
        <w:rPr>
          <w:b/>
        </w:rPr>
        <w:t>E. 3</w:t>
      </w:r>
    </w:p>
    <w:p>
      <w:r>
        <w:t>Au vu de ce qui précède, la décision attaquée doit être confirmée. Dès lors qu'il est statué immédiatement sur le fond, la demande d'effet suspensif présentée par le recourant est sans objet.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