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7B.166/2002 vom 29. August 2002</w:t>
      </w:r>
    </w:p>
    <w:p>
      <w:r>
        <w:t>Bundesgericht, 2002-08-29, DE</w:t>
      </w:r>
    </w:p>
    <w:p>
      <w:r>
        <w:rPr>
          <w:b/>
        </w:rPr>
        <w:t xml:space="preserve">Quelle: </w:t>
      </w:r>
      <w:r>
        <w:t>https://mcp.opencaselaw.ch/entscheid/bger_7B.166_2002</w:t>
      </w:r>
    </w:p>
    <w:p>
      <w:r>
        <w:t>FR: TF 7B.166/2002 du 29 août 2002</w:t>
      </w:r>
    </w:p>
    <w:p>
      <w:r>
        <w:t>IT: TF 7B.166/2002 del 29 agosto 2002</w:t>
      </w:r>
    </w:p>
    <w:p>
      <w:pPr>
        <w:pStyle w:val="Heading2"/>
      </w:pPr>
      <w:r>
        <w:t>Regeste</w:t>
      </w:r>
    </w:p>
    <w:p>
      <w:r>
        <w:t>Schuldbetreibungs- und Konkursrecht</w:t>
      </w:r>
    </w:p>
    <w:p>
      <w:pPr>
        <w:pStyle w:val="Heading2"/>
      </w:pPr>
      <w:r>
        <w:t>Volltext</w:t>
      </w:r>
    </w:p>
    <w:p>
      <w:r>
        <w:t>Bundesgericht Schuldbetreibungs- und Konkurskammer (bis 2006) 29.08.2002 7B.166/2002 Tribunal fédéral Chambre des poursuites et des faillites (jusqu'en 2006) 29.08.2002 7B.166/2002 Tribunale federale Camera delle esecuzioni e dei fallimenti (fino a 2006) 29.08.2002 7B.166/2002</w:t>
      </w:r>
    </w:p>
    <w:p>
      <w:r>
        <w:t>Schuldbetreibungs- und Konkursrecht</w:t>
      </w:r>
    </w:p>
    <w:p>
      <w:r>
        <w:t>Tribunale federale Tribunal federal {T 0/2} 7B.166/2002 /min Urteil vom 29. August 2002 Schuldbetreibungs- und Konkurskammer Bundesrichterin Nordmann, Präsidentin, Bundesrichter Meyer, Bundesrichterin Hohl, Gerichtsschreiber Gysel. A.________, Beschwerdeführer, gegen Obergericht (II. Zivilkammer) des Kantons Zürich als oberer kantonaler Aufsichtsbehörde über Schuldbetreibung und Konkurs, Postfach, 8023 Zürich. Verwertungsbegehren Beschwerde gegen den Beschluss vom 29. Juli 2002 (NR020046/U). Die Kammer hat nach Einsicht in die Eingabe vom 19. August 2002, mit der A.________ gegen den Beschluss des Obergerichts (II. Zivilkammer) des Kantons Zürich als oberer kantonaler Aufsichtsbehörde über Schuldbetreibung und Konkurs vom 29. Juli 2002 rechtzeitig Beschwerde an die Schuldbetreibungs- und Konkurskammer des Bundesgerichts erhebt, in Erwägung, dass gemäss der - von der Vorinstanz in der Rechtsmittelbelehrung ausdrücklich erwähnten - Bestimmung von Art. 79 Abs. 1 des Bundesgesetzes über die Organisation der Bundesrechtspflege (OG) in der Beschwerdeschrift anzugeben ist, welche Abänderung des angefochtenen Entscheids beantragt wird, und ausserdem kurz darzulegen ist, inwiefern dieser Bundesrecht verletzen soll, dass die Eingabe des Beschwerdeführers diesen gesetzlichen Anforderungen in keiner Weise genügt, zumal der Hinweis auf andere Rechtsschriften unbeachtlich ist (dazu BGE 106 III 40 E. 1 S. 42 mit Hinweis), dass der Beschwerdeführer die Eingabe am zehnten Tag der am 9. August 2002 ausgelösten Beschwerdefrist von Art. 19 Abs. 1 SchKG zur Post gebracht hat, dass diese Frist nicht erstreckt werden konnte (vgl. Art. 33 Abs. 1 SchKG ), dass innert der Zehn-Tage-Frist eine den gesetzlichen Anforderungen entsprechende Beschwerdeschrift hätte eingereicht werden müssen und die Ansetzung einer Nachfrist zur Verbesserung angesichts der gegebenen zeitlichen Verhältnisse ausgeschlossen war, erkannt: 1. Auf die Beschwerde wird nicht eingetreten. 2. Dieses Urteil wird dem Beschwerdeführer, der Beschwerdegegnerin Bank B.________, dem Betreibungsamt X.________ und dem Obergericht (II. Zivilkammer) des Kantons Zürich als oberer kantonaler Aufsichtsbehörde über Schuldbetreibung und Konkurs schriftlich mitgeteilt. Lausanne, 29. August 2002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