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7B.15/2005 vom 1. März 2005</w:t>
      </w:r>
    </w:p>
    <w:p>
      <w:r>
        <w:t>Bundesgericht, 2005-03-01, FR</w:t>
      </w:r>
    </w:p>
    <w:p>
      <w:r>
        <w:rPr>
          <w:b/>
        </w:rPr>
        <w:t xml:space="preserve">Quelle: </w:t>
      </w:r>
      <w:r>
        <w:t>https://mcp.opencaselaw.ch/entscheid/bger_7B.15_2005</w:t>
      </w:r>
    </w:p>
    <w:p>
      <w:r>
        <w:t>FR: TF 7B.15/2005 du 1 mars 2005</w:t>
      </w:r>
    </w:p>
    <w:p>
      <w:r>
        <w:t>IT: TF 7B.15/2005 del 1 marzo 2005</w:t>
      </w:r>
    </w:p>
    <w:p>
      <w:pPr>
        <w:pStyle w:val="Heading2"/>
      </w:pPr>
      <w:r>
        <w:t>Regeste</w:t>
      </w:r>
    </w:p>
    <w:p>
      <w:r>
        <w:t>exécution d'un séquestre; revendication des tiers | Droit des poursuites et faillites</w:t>
      </w:r>
    </w:p>
    <w:p>
      <w:pPr>
        <w:pStyle w:val="Heading2"/>
      </w:pPr>
      <w:r>
        <w:t>Erwägungen</w:t>
      </w:r>
    </w:p>
    <w:p>
      <w:r>
        <w:rPr>
          <w:b/>
        </w:rPr>
        <w:t>E. 1</w:t>
      </w:r>
    </w:p>
    <w:p>
      <w:r>
        <w:t>Contrairement à l'exigence légale ( art. 79 al. 1 OJ ), le chef de conclusions concernant "l'avance de frais judiciaire" n'est pas motivé; il est, partant, irrecevable (Sandoz-Monod, Commentaire de la loi fédérale d'organisation judiciaire, vol. II, Berne 1990, p. 751 n. 1.2). Au demeurant, en cas d'admission du recours, la Chambre de céans ne peut qu'annuler ou redresser l'acte qui en fait l'objet ( art. 21 LP ); il ne lui appartient pas de décider du sort d'une avance de frais fixée par le juge.</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la recourante avance sans se prévaloir de l'une des exceptions mentionnées ci-dessus.</w:t>
      </w:r>
    </w:p>
    <w:p>
      <w:r>
        <w:rPr>
          <w:b/>
        </w:rPr>
        <w:t>E. 3.1</w:t>
      </w:r>
    </w:p>
    <w:p>
      <w:r>
        <w:t>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Adrian Staehelin, Kommentar zum Bundesgesetz über Schuldbetreibung und Konkurs, n. 23 ad art. 106 LP ), la déclaration en question peut donc intervenir, en principe, dès le moment où l'intéressé a eu connaissance de l'exécution valide de la saisie ou du séquestre jusqu'à la distribution des deniers ( art. 106 al. 2 LP ).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 ATF 120 III 123 consid. 2a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 ATF 114 III 92 consid. 1c; 112 III 59 consid. 2 p. 62/63; 109 III 18 p. 20 en bas; Staehelin, loc. cit., n. 24 ad art. 106 LP ), étant observé que dans le cas d'un séquestre une telle décision peut émaner, suivant la nature des griefs invoqués, soit des autorités de poursuite soit du juge de l'opposition ( ATF 129 III 203 ).</w:t>
      </w:r>
    </w:p>
    <w:p>
      <w:r>
        <w:rPr>
          <w:b/>
        </w:rPr>
        <w:t>E. 3.2</w:t>
      </w:r>
    </w:p>
    <w:p>
      <w:r>
        <w:t>En application de ces principes, récemment confirmés (arrêts 7B.18/2004 du 7 avril 2004, consid. 2.1, et 7B.190/2004 du 19 novembre 2004, consid. 4), la Commission cantonale de surveillance a retenu qu'en l'espèce les plaignants n'étaient pas tenus d'adresser leurs revendications à l'office avant le 26 mai 2003, date à laquelle le poursuivi avait retiré son appel contre le jugement rejetant son opposition au séquestre; depuis, ils avaient certes temporisé et tardé à présenter leurs revendications, sans que les démarches de constitution du dossier et d'analyse de celui-ci, ainsi que l'éloignement entre Genève et le Liban ou la France, aient pu justifier un retard de six semaines à deux mois; mais, pour autant, ils n'avaient pas déterminé la poursuivante à prendre des mesures dont elle se serait abstenue, pas plus qu'ils ne l'avaient empêchée de prendre d'autres mesures pour garantir sa créance; par conséquent, a conclu la Commission cantonale, les plaignants n'avaient pas agi contrairement à la bonne foi, ni abusé de leur droit en déclarant leurs revendications le 24 juillet 2003. On ne trouve, dans les constatations de la décision attaquée, dans le mémoire de recours, voire dans le dossier, aucun élément qui permettrait de conclure, comme le voudrait la recourante, à l'existence d'un comportement malicieux et contraire à la bonne foi ou d'une négligence grossière de la part des revendiquants au sens de la jurisprudence susmentionnée. Force est dès lors d'admettre que c'est à bon droit que la Commission cantonale de surveillance a ordonné à l'office de prendre en considération les revendications litigieuses.</w:t>
      </w:r>
    </w:p>
    <w:p>
      <w:r>
        <w:rPr>
          <w:b/>
        </w:rPr>
        <w:t>E. 4</w:t>
      </w:r>
    </w:p>
    <w:p>
      <w:r>
        <w:t>Bien que non directement concerné par la présente procédure, L.________ a été considéré comme partie en instance cantonale. Il convient donc de lui communiquer également une copie du présent arrêt.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