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7B.146/2001 vom 20. Juli 2001</w:t>
      </w:r>
    </w:p>
    <w:p>
      <w:r>
        <w:t>Bundesgericht, 2001-07-20, FR</w:t>
      </w:r>
    </w:p>
    <w:p>
      <w:r>
        <w:rPr>
          <w:b/>
        </w:rPr>
        <w:t xml:space="preserve">Quelle: </w:t>
      </w:r>
      <w:r>
        <w:t>https://mcp.opencaselaw.ch/entscheid/bger_7B.146_2001</w:t>
      </w:r>
    </w:p>
    <w:p>
      <w:r>
        <w:t>FR: TF 7B.146/2001 du 20 juillet 2001</w:t>
      </w:r>
    </w:p>
    <w:p>
      <w:r>
        <w:t>IT: TF 7B.146/2001 del 20 luglio 2001</w:t>
      </w:r>
    </w:p>
    <w:p>
      <w:pPr>
        <w:pStyle w:val="Heading2"/>
      </w:pPr>
      <w:r>
        <w:t>Regeste</w:t>
      </w:r>
    </w:p>
    <w:p>
      <w:r>
        <w:t>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les parties avancent sans pouvoir se prévaloir de l'une des exceptions mentionnées ci-dessus.</w:t>
      </w:r>
    </w:p>
    <w:p>
      <w:r>
        <w:rPr>
          <w:b/>
        </w:rPr>
        <w:t>E. 2</w:t>
      </w:r>
    </w:p>
    <w:p>
      <w:r>
        <w:t>L' art. 65 al. 1 OAOF prévoit que pendant le délai d'opposition, l'administration de la faillite n'a le droit de modifier les décisions prises dans l'état de collocation qu'aussi longtemps qu'une action n'a pas été intentée à la masse ou à un autre créancier. a) L'autorité cantonale de surveillance a considéré, d'une part, que cette interdiction n'était valable que pour les créances directement concernées par les actions en contestation de l'état de collocation, ce qui était le cas en l'occurrence puisque l'action déposée par un tiers visait la créance de la recourante; elle a retenu, d'autre part, que cette action coïncidait dans le temps avec la décision d'annulation contestée, de sorte qu'elle devait être considérée comme n'ayant pas encore été intentée à la masse au sens de l' art. 65 al. 1 OAOF ; partant, les conditions formelles de cette disposition semblaient réalisées. b) En tant qu'elle fait valoir que l'autorité cantonale de surveillance a indûment restreint le champ d'application de la disposition en cause en limitant l'interdiction de modifier la collocation aux créances directement concernées par l'action en modification de l'état de collocation, la recourante ne justifie pas d'un intérêt actuel et concret (cf. ATF 120 III 107 consid. 2 et les références), dès lors que, dans son cas précisément, l'autorité cantonale n'a pas appliqué ladite restriction. Au demeurant, l'autorité cantonale a finalement laissé indécise la question de la réalisation des conditions formelles de l' art. 65 OAOF . c) Cette question n'ayant pas été définitivement tranchée et considérée donc comme décisive, la recourante se prévaut par ailleurs en vain de ce que l'action en contestation de l'état de collocation intentée par le tiers l'aurait été le 16 octobre 2000, soit la veille de la décision de modification prise par l'administration spéciale. De surcroît, sur ce point, la Chambre de céans doit s'en tenir aux constatations de fait de la décision attaquée (cf. supra, consid. 1), constatations selon lesquelles action et décision sont intervenues en même temps.</w:t>
      </w:r>
    </w:p>
    <w:p>
      <w:r>
        <w:rPr>
          <w:b/>
        </w:rPr>
        <w:t>E. 3</w:t>
      </w:r>
    </w:p>
    <w:p>
      <w:r>
        <w:t>a) Hormis le cas des productions tardives, un état de collocation passé en force ne peut plus être modifié, à moins qu'il ne s'avère qu'une créance y a été admise ou écartée manifestement à tort, ou qu'un rapport de droit s'est modifié après coup, ou encore lorsque des faits nouveaux justifient une révision ( ATF 111 II 81 consid. 3a p. 84, 102 III 155 consid. 3 p. 159); il ne peut toutefois être revenu sur la collocation que pour des motifs qui se sont réalisés ou ont été connus après son entrée en force: il ne saurait en effet être question de soumettre à une nouvelle appréciation juridique, lors de la distribution des deniers, des faits connus lors de la collocation et d'en tirer argument pour modifier la décision (102 III 155 consid. 3 p. 160). Ces principes s'appliquent a fortiori lorsque, comme en l'espèce, l'état de collocation n'est pas encore en force, ce qui n'advient qu'à l'échéance du délai d'opposition de 20 jours de l' art. 250 al. 1 LP (cf. ATF 107 III 136 ss, spéc. 138; Gilliéron, Poursuite pour dettes, faillite et concordat, Lausanne 1993, p. 337). b) L'excès et l'abus du pouvoir d'appréciation reproché à l'autorité cantonale de surveillance consiste, selon la recourante, à avoir admis à tort l'existence de faits nouveaux justifiant la révision de l'état de collocation. En outre, l'autorité cantonale n'aurait pas déterminé la date de la connaissance par la masse en faillite des prétendus faits nouveaux. Dans sa détermination sur la plainte, l'administration spéciale a fait valoir que c'était durant le délai de 20 jours que les organes de la faillite avaient pris connaissance, avec stupeur, des documents envoyés par les autorités monégasques au juge d'instruction suite à la commission rogatoire que ce dernier leur avait adressée le 7 octobre 1999. Contestant cette allégation, la recourante a soutenu de son côté que la masse en faillite avait connaissance de ladite commission rogatoire et que les documents envoyés par les autorités monégasques n'étaient que la confirmation de ce que la masse en faillite aurait appris si elle avait procédé à une lecture attentive d'un compte et des procès-verbaux de l'instruction; elle se prévalait de différentes pièces et déclarations. L'autorité cantonale de surveillance a considéré, après examen des pièces en question, que celles-ci n'emportaient pas une conviction absolue; quant aux déclarations, elles ne lui sont pas apparues aussi pertinentes que le soutenait la plaignante. Elle a donc retenu que lorsqu'elle a appris par l'intermédiaire de la commission rogatoire à Monaco que la faillie avait procédé à d'importants versements en faveur de sociétés et personnes proches de V.________, l'administration spéciale était en droit de considérer ces faits comme nouveaux et d'en tirer les conséquences sur la collocation de la créance de la plaignante. La date précise de la connaissance des faits nouveaux par l'administration spéciale n'est certes pas indiquée dans la décision attaquée. Il ressort cependant nettement du contexte de cette dernière, et plus particulièrement de l'appréciation par l'autorité cantonale des arguments et moyens avancés de part et d'autre, que c'est dans le délai d'opposition de 20 jours suivant la publication du dépôt de l'état de collocation que l'administration spéciale a appris l'existence des faits nouveaux. La recourante ne démontre pas qu'en jugeant comme elle l'a fait, l'autorité cantonale a commis un excès ou un abus de son pouvoir d'appréciation au sens de la jurisprudence ( ATF 123 III 274 consid. 1a/cc; 110 III 17 consid. 2 p. 18 et arrêts cités). Elle s'attache plutôt à contester les faits et à opposer sa version à celle exposée dans la décision attaquée, ce qui est inadmissible (cf. supra, consid. 1). Pour une bonne part aussi, elle critique l'appréciation des preuves à laquelle s'est livrée l'autorité cantonale. Elle oublie, ce faisant, que sous réserve du principe de la libre appréciation posé à l' art. 20a al. 2 ch. 3 LP et qui n'est pas en jeu ici, l'appréciation des preuves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w:t>
      </w:r>
    </w:p>
    <w:p>
      <w:r>
        <w:rPr>
          <w:b/>
        </w:rPr>
        <w:t>E. 4</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