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7B.130/2004 vom 17. August 2004</w:t>
      </w:r>
    </w:p>
    <w:p>
      <w:r>
        <w:t>Bundesgericht, 2004-08-17, DE</w:t>
      </w:r>
    </w:p>
    <w:p>
      <w:r>
        <w:rPr>
          <w:b/>
        </w:rPr>
        <w:t xml:space="preserve">Quelle: </w:t>
      </w:r>
      <w:r>
        <w:t>https://mcp.opencaselaw.ch/entscheid/bger_7B.130_2004</w:t>
      </w:r>
    </w:p>
    <w:p>
      <w:r>
        <w:t>FR: TF 7B.130/2004 du 17 août 2004</w:t>
      </w:r>
    </w:p>
    <w:p>
      <w:r>
        <w:t>IT: TF 7B.130/2004 del 17 agosto 2004</w:t>
      </w:r>
    </w:p>
    <w:p>
      <w:pPr>
        <w:pStyle w:val="Heading2"/>
      </w:pPr>
      <w:r>
        <w:t>Regeste</w:t>
      </w:r>
    </w:p>
    <w:p>
      <w:r>
        <w:t>Schuldbetreibungs- und Konkursrecht</w:t>
      </w:r>
    </w:p>
    <w:p>
      <w:pPr>
        <w:pStyle w:val="Heading2"/>
      </w:pPr>
      <w:r>
        <w:t>Erwägungen</w:t>
      </w:r>
    </w:p>
    <w:p>
      <w:r>
        <w:rPr>
          <w:b/>
        </w:rPr>
        <w:t>E. 1</w:t>
      </w:r>
    </w:p>
    <w:p>
      <w:r>
        <w:t>Z.________ AG,</w:t>
      </w:r>
    </w:p>
    <w:p>
      <w:r>
        <w:rPr>
          <w:b/>
        </w:rPr>
        <w:t>E. 2</w:t>
      </w:r>
    </w:p>
    <w:p>
      <w:r>
        <w:t>Die Beschwerdeführerinnen verlangen, ihrer Beschwerde die aufschiebende Wirkung zuzuerkennen. Indes erfolgt gemäss Art. 66 Abs. 1 VZG die Anmeldung des durch den Zuschlag bewirkten Eigentumsüberganges zur Eintragung in das Grundbuch erst, sobald feststeht, dass der Zuschlag nicht mehr durch Beschwerde angefochten werden kann oder die erhobene Beschwerde endgültig abgewiesen worden ist. Die aufschiebende Wirkung ist damit bereits von Gesetzes wegen vorgesehen ( BGE 129 III 100 E. 3), so dass sich der Antrag der Beschwerdeführerinnen als überflüssig erweist.</w:t>
      </w:r>
    </w:p>
    <w:p>
      <w:r>
        <w:rPr>
          <w:b/>
        </w:rPr>
        <w:t>E. 3</w:t>
      </w:r>
    </w:p>
    <w:p>
      <w:r>
        <w:t>Die Beschwerdeführerinnen kritisieren, dass anlässlich der Steigerung das Lastenverzeichnis und die Steigerungsbedingungen nicht verlesen worden seien, obwohl dieses Vorgehen gemäss den Dienstanweisungen des zürcherischen Betreibungsinspektorates für die Betreibungsämter vorgeschrieben sei. Sie führen aus, das Nichtverlesen habe dazu geführt, dass sie nicht hätten mitbieten können, da ihr Geldgeber etwas verspätet zur Steigerung erschienen sei. Die Beschwerdeführerinnen machen nicht geltend, die Pflicht zum Verlesen des Lastenverzeichnisses und der Steigerungsbedingungen ergebe sich direkt aus dem SchKG. Vielmehr leiten sie diese Pflicht aus den oben erwähnten kantonalen Dienstanweisungen ab. Diese stellen - im Gegensatz zur Auffassung der Beschwerdeführerinnen - indes kein Bundesrecht dar, da sie von einer kantonalen Behörde erlassen worden sind. Weder die teilweise Rechtsetzungskompetenz der Kantone, die das SchKG diesen einräumt, noch der Genehmigungsvorbehalt von Art. 29 SchKG lassen kantonale Bestimmungen als Bundesrecht erscheinen. Die richtige Anwendung von kantonalem Recht kann indes das Bundesgericht im Rahmen einer Beschwerde nach Art. 19 SchKG nicht überprüfen ( BGE 120 III 114 E. 3a S. 116; 125 III 247 E. 2). Ebenso wenig kann im vorliegenden Verfahren die rechtsungleiche oder willkürliche Anwendung dieser kantonalen Regelungen gerügt werden, da wegen Verletzung verfassungsmässiger Rechte die staatsrechtliche Beschwerde vorbehalten ist (Art. 43 Abs. 1 i.V.m. Art. 81 OG ; BGE 107 III 11 E. 1 S. 12; 126 III 30 E. 1c S. 32).</w:t>
      </w:r>
    </w:p>
    <w:p>
      <w:r>
        <w:rPr>
          <w:b/>
        </w:rPr>
        <w:t>E. 4</w:t>
      </w:r>
    </w:p>
    <w:p>
      <w:r>
        <w:t>Damit kann auf die Beschwerde insgesamt nicht eingetreten werden. Das Beschwerdeverfahren ist grundsätzlich kostenlos ( Art. 20a Abs. 1 SchKG ), und es darf - ausser bei bös- oder mutwilliger Beschwerdeführung -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