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7B.130/2001 vom 4. Juli 2001</w:t>
      </w:r>
    </w:p>
    <w:p>
      <w:r>
        <w:t>Bundesgericht, 2001-07-04, FR</w:t>
      </w:r>
    </w:p>
    <w:p>
      <w:r>
        <w:rPr>
          <w:b/>
        </w:rPr>
        <w:t xml:space="preserve">Quelle: </w:t>
      </w:r>
      <w:r>
        <w:t>https://mcp.opencaselaw.ch/entscheid/bger_7B.130_2001</w:t>
      </w:r>
    </w:p>
    <w:p>
      <w:r>
        <w:t>FR: TF 7B.130/2001 du 4 juillet 2001</w:t>
      </w:r>
    </w:p>
    <w:p>
      <w:r>
        <w:t>IT: TF 7B.130/2001 del 4 luglio 2001</w:t>
      </w:r>
    </w:p>
    <w:p>
      <w:pPr>
        <w:pStyle w:val="Heading2"/>
      </w:pPr>
      <w:r>
        <w:t>Regeste</w:t>
      </w:r>
    </w:p>
    <w:p>
      <w:r>
        <w:t>Droit des poursuites et faillites</w:t>
      </w:r>
    </w:p>
    <w:p>
      <w:pPr>
        <w:pStyle w:val="Heading2"/>
      </w:pPr>
      <w:r>
        <w:t>Erwägungen</w:t>
      </w:r>
    </w:p>
    <w:p>
      <w:r>
        <w:rPr>
          <w:b/>
        </w:rPr>
        <w:t>E. 1</w:t>
      </w:r>
    </w:p>
    <w:p>
      <w:r>
        <w:t>Comme le rappelle la décision attaquée en s'appuyant sur la jurisprudence du Tribunal fédéral (entre autres: ATF 109 III 120 et 107 III 33), l'exécution du séquestre par l'office ne peut être refusée que lorsque le séquestre est entaché de nullité, par exemple lorsque l'ordonnance de séquestre vise des biens qui, au dire même du créancier ou de toute évidence, n'appartiennent pas au poursuivi. Tel n'est pas le cas en l'espèce où, selon l'autorité cantonale, la désignation des biens à séquestrer auprès de BNP Paribas ne comporte aucune ambiguïté de nature à faire douter de la titularité de ceux-ci; il ne s'agit nullement, précise-t-elle, d'un cas dans lequel le créancier entend faire porter le séquestre sur des biens qu'il désigne comme étant au nom d'un tiers, mais appartenant en réalité au débiteur; au contraire, l'ordonnance de séquestre ne mentionne que la débitrice. Après avoir ainsi admis que la titularité de la poursuivie sur les biens à séquestrer était dénuée de toute ambiguïté, l'autorité cantonale a néanmoins décidé que le séquestre ne pourrait porter que sur le compte courant Y.________, puisque seul celui-ci était mentionné dans l'ordonnance de séquestre, le terme "notamment" placé avant la désignation de ce compte ne pouvant dès lors avoir la moindre portée. Comme le fait valoir à juste titre la recourante, l'autorité cantonale a, ce faisant, méconnu les principes applicables en matière de désignation d'avoirs bancaires à séquestrer. En effet, pour tenir compte de la difficulté qu'éprouve parfois le créancier à désigner précisément les biens du débiteur, notamment lorsqu'ils sont déposés dans une banque, la jurisprudence admet depuis longtemps déjà ( ATF 56 III 44 ) qu'un séquestre soit ordonné et exécuté sur des biens désignés par leur genre seulement, mais avec mention exacte du lieu où ils se trouvent ou de la personne qui les détient (cf. ATF 107 III 33 consid. 5 p. 38; 100 III 25 consid. 1a; Louis Dallèves, Le séquestre, FJS 740 p. 6; Walter A. Stoffel, in: Kommentar zum Bundesgesetz über Schuldbetreibung und Konkurs, n. 29 ad art. 272 et les références). En l'espèce, la désignation dans l'ordonnance des biens à séquestrer satisfaisait aux exigences de cette jurisprudence, de sorte que l'autorité cantonale ne pouvait limiter l'exécution du séquestre au seul compte que la créancière avait été en mesure de désigner avec précision, et l'adverbe "notamment" n'était pas dépourvu de toute portée. Sur ce point, le recours doit donc être admis.</w:t>
      </w:r>
    </w:p>
    <w:p>
      <w:r>
        <w:rPr>
          <w:b/>
        </w:rPr>
        <w:t>E. 2</w:t>
      </w:r>
    </w:p>
    <w:p>
      <w:r>
        <w:t>Il devrait en aller de même, en principe, en ce qui concerne l'exécution du séquestre auprès de l'Union de Banques Suisses. Le recours ne contient toutefois ni conclu- sion ni motivation à ce sujet. Ne se trouvant pas dans un cas où elle pourrait prononcer la nullité d'office de la mesure en question, la Chambre de céans s'abstient de faire usage en l'espèce de la faculté, qui lui est reconnue au nom de son pouvoir de surveillance, de statuer ultra petita (cf. art. 63 al. 1 et 81 OJ ; Sandoz-Monod, Commentaire de la loi fédérale d'organisation judiciaire, vol. II, Berne 1990, p. 794 et les références).</w:t>
      </w:r>
    </w:p>
    <w:p>
      <w:r>
        <w:rPr>
          <w:b/>
        </w:rPr>
        <w:t>E. 3</w:t>
      </w:r>
    </w:p>
    <w:p>
      <w:r>
        <w:t>Il résulte de ce qui précède que le recours doit être admis partiellement, la décision attaquée étant annulée sur un point seulement. Conformément aux art. 20a al. 1 LP , 61 al. 2 let. a et 62 al. 2 OELP, il n'y a pas lieu de percevoir d'émolument de justice, ni d'allouer des dépens.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