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7B.124/2002 vom 16. August 2002</w:t>
      </w:r>
    </w:p>
    <w:p>
      <w:r>
        <w:t>Bundesgericht, 2002-08-16, DE</w:t>
      </w:r>
    </w:p>
    <w:p>
      <w:r>
        <w:rPr>
          <w:b/>
        </w:rPr>
        <w:t xml:space="preserve">Quelle: </w:t>
      </w:r>
      <w:r>
        <w:t>https://mcp.opencaselaw.ch/entscheid/bger_7B.124_2002</w:t>
      </w:r>
    </w:p>
    <w:p>
      <w:r>
        <w:t>FR: TF 7B.124/2002 du 16 août 2002</w:t>
      </w:r>
    </w:p>
    <w:p>
      <w:r>
        <w:t>IT: TF 7B.124/2002 del 16 agosto 2002</w:t>
      </w:r>
    </w:p>
    <w:p>
      <w:pPr>
        <w:pStyle w:val="Heading2"/>
      </w:pPr>
      <w:r>
        <w:t>Erwägungen</w:t>
      </w:r>
    </w:p>
    <w:p>
      <w:r>
        <w:rPr>
          <w:b/>
        </w:rPr>
        <w:t>E. 1</w:t>
      </w:r>
    </w:p>
    <w:p>
      <w:r>
        <w:t>A.________,</w:t>
      </w:r>
    </w:p>
    <w:p>
      <w:r>
        <w:rPr>
          <w:b/>
        </w:rPr>
        <w:t>E. 2</w:t>
      </w:r>
    </w:p>
    <w:p>
      <w:r>
        <w:t>Die Beschwerdeführer verlangen den Ausstand verschiedener Personen, vorab der Bundesrichterinnen Nordmann und Escher sowie des Bundesrichters Meyer (S. 11 ff. der Beschwerdeschrift). Eine zulässige Begründung der Begehren lässt sich den Ausführungen nicht entnehmen, und es ist nichts ersichtlich, was einen Ausschliessungs- oder Ablehnungsgrund bedeuten könnte ( Art. 22 und Art. 23 OG ). Auf das Ausstandsbegehren ist nicht einzutreten.</w:t>
      </w:r>
    </w:p>
    <w:p>
      <w:r>
        <w:rPr>
          <w:b/>
        </w:rPr>
        <w:t>E. 3</w:t>
      </w:r>
    </w:p>
    <w:p>
      <w:r>
        <w:t>Heutiger Beschwerdegegenstand bildet der Beschluss der oberen kantonalen Aufsichtsbehörde vom 7. Juni 2002. Auf Anträge und Vorbringen der Beschwerdeführer, die mit diesem Beschwerdegegenstand nichts zu tun haben und namentlich andere Verfahren betreffen (z.B. ab S. 25, S. 37 und S. 47 der Beschwerdeschrift), kann nicht eingetreten werden. Die Beschwerdeführer befassen sich auf den S. 14 ff. und S. 22 ff. der Eingabe mit der Prozessfähigkeit, die das Obergericht verneint hat. Sie bestreiten zwar, dass die Prozessfähigkeit fehle, legen aber nicht dar, welche Bundesrechtssätze und inwiefern sie durch den angefochtenen Nichteintretensentscheid verletzt worden sein sollen ( Art. 79 Abs. 1 OG ). Die Beschwerdeschrift genügt den formellen Anforderungen nicht, so dass darauf nicht eingetreten werden kann. Soweit die Beschwerdeführer dabei eine Verletzung (von Bestimmungen) der EMRK oder des Willkürverbots geltend machen, kann auf die Beschwerde nicht eingetreten werden, da solche Rügen nur im Rahmen einer staatsrechtlichen Beschwerde vorgebracht werden können.</w:t>
      </w:r>
    </w:p>
    <w:p>
      <w:r>
        <w:rPr>
          <w:b/>
        </w:rPr>
        <w:t>E. 4</w:t>
      </w:r>
    </w:p>
    <w:p>
      <w:r>
        <w:t>Die Beschwerdeführer beantragen, die Nichtigkeit mehrerer Zahlungsbefehle und der darauf gestützten Betreibungen festzustellen. Sie begründen dies vorab mit der angeblich illegalen Zustellung der betreffenden Zahlungsbefehle (z.B. Begehren Nrn. 1 und 13). Wie dem Beschwerdeführer bereits im Urteil der erkennenden Kammer 7B.42/2001 vom 23. Februar 2001, E. 4, dargelegt worden ist, hat die Zustellung eines Zahlungsbefehls während der geschlossenen Zeiten ebenso wenig dessen Nichtigkeit zur Folge wie die Zustellung während der Betreibungsferien; die Missachtung von Art. 56 Ziff. 1 oder 2 SchKG führt einzig dazu, dass der Zahlungsbefehl seine Rechtswirkungen erst nach Ablauf der Schonzeit entfaltet. Die Beschwerdeführer erheben ferner Unzuständigkeitseinreden und behaupten eine Verletzung von Zuständigkeitsbestimmungen (z.B. ab S. 41 der Beschwerdeschrift), doch wird aus der Begründung nicht klar, inwiefern davon die aufgelisteten Zahlungsbefehle betroffen sein sollen. Die Vorbringen sind insgesamt nicht geeignet, einen Nichtigkeitsgrund darzutun ( Art. 79 Abs. 1 OG ).</w:t>
      </w:r>
    </w:p>
    <w:p>
      <w:r>
        <w:rPr>
          <w:b/>
        </w:rPr>
        <w:t>E. 5</w:t>
      </w:r>
    </w:p>
    <w:p>
      <w:r>
        <w:t>Aus obigen Ausführungen geht hervor, dass ein Nichteintretensentscheid gefällt werden muss. Somit sind die Bedingungen für die Aussetzung des Verfahrens nicht gegeben ( Art. 40 OG in Verbindung mit Art. 6 Abs. 1 BZP ). Mit dem Entscheid in der Sache ist das Begehren, der Beschwerde aufschiebende Wirkung zuzuerkennen, gegenstandslos geworden. Desgleichen als gegenstandslos erweist sich das Gesuch um unentgeltliche Rechtspflege, zumal das Beschwerdeverfahren grundsätzlich kostenlos ist.</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