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6S.97/2003 vom 7. Mai 2003</w:t>
      </w:r>
    </w:p>
    <w:p>
      <w:r>
        <w:t>Bundesgericht, 2003-05-07, FR</w:t>
      </w:r>
    </w:p>
    <w:p>
      <w:r>
        <w:rPr>
          <w:b/>
        </w:rPr>
        <w:t xml:space="preserve">Quelle: </w:t>
      </w:r>
      <w:r>
        <w:t>https://mcp.opencaselaw.ch/entscheid/bger_6S.97_2003</w:t>
      </w:r>
    </w:p>
    <w:p>
      <w:r>
        <w:t>FR: TF 6S.97/2003 du 7 mai 2003</w:t>
      </w:r>
    </w:p>
    <w:p>
      <w:r>
        <w:t>IT: TF 6S.97/2003 del 7 maggio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fait valoir une violation des art. 11 et 13 CP , estimant qu'avec un taux d'alcoolémie proche de 2 g o/oo, le juge aurait dû ordonner une expertise et retenir une diminution de la responsabilité, au moins moyenne, justifiant, en principe, une diminution de la peine de l'ordre de 50 %.</w:t>
      </w:r>
    </w:p>
    <w:p>
      <w:r>
        <w:rPr>
          <w:b/>
        </w:rPr>
        <w:t>E. 2.1</w:t>
      </w:r>
    </w:p>
    <w:p>
      <w:r>
        <w:t>Aux termes de l' art. 13 al. 1 CP , l'examen de l'inculpé doit être ordonné s'il y a doute quant à sa responsabilité. Si le juge ignore, ne se rend pas compte ou conteste à tort que les conditions de cet article sont réalisées ou si, tout en le reconnaissant, il renonce néanmoins à mettre en oeuvre une expertise, il viole le droit pénal fédéral. Dans ce cas, la voie du pourvoi en nullité est ouverte. Lorsqu'en revanche, le recourant critique l'expertise elle-même, il conteste alors l'appréciation des preuves et devra agir par la voie du recours de droit public ( ATF 106 IV 97 consid. 2 p. 99; 105 IV 161 consid. 2 p. 163; 103 Ia 55 consid. 1 p. 57 s.). En l'espèce, le recourant reproche à la cour cantonale de ne pas avoir eu de doute quant à sa responsabilité et, partant, de ne pas avoir ordonné une expertise en bonne et due forme. Il conteste donc l'application de l' art. 13 CP et c'est en conséquence à juste titre qu'il a agi par la voie du pourvoi en nullité.</w:t>
      </w:r>
    </w:p>
    <w:p>
      <w:r>
        <w:rPr>
          <w:b/>
        </w:rPr>
        <w:t>E. 2.2</w:t>
      </w:r>
    </w:p>
    <w:p>
      <w:r>
        <w:t>Selon la jurisprudence, une personne présentant un taux d'alcoolémie dans le sang de 3 g o/oo et plus doit être considérée comme totalement irresponsable. Entre 2 et 3 g o/oo, sa responsabilité sera en règle générale diminuée, alors qu'en dessous de 2 g o/oo, on admettra en principe une responsabilité pleine et entière. Il ne s'agit cependant que d'une présomption (réfragable) qui peut être renversée en raison d'indices contraires ( ATF 122 IV 49 consid. 1b p. 50; 119 IV 120 consid. 2b p. 123; 117 IV 292 consid. 2d p. 296 s.).</w:t>
      </w:r>
    </w:p>
    <w:p>
      <w:r>
        <w:rPr>
          <w:b/>
        </w:rPr>
        <w:t>E. 2.3</w:t>
      </w:r>
    </w:p>
    <w:p>
      <w:r>
        <w:t>Il est vrai que la concentration d'alcool dans le sang n'est pas seule décisive. Elle n'est qu'un indice parmi d'autres d'une altération de la capacité de discernement. L'accoutumance à l'alcool, la personnalité de l'auteur et les conditions dans lesquelles il a agi ont aussi leur importance. Cependant, ces indices ne sont souvent plus déterminables au moment du jugement et, s'ils existent encore, il est difficile de décider dans quelle mesure ils doivent être pris en considération. C'est la raison pour laquelle il se justifie de donner au taux d'alcoolémie dans le sang une importance prépondérante, même s'il ne saurait y avoir de correspondance linéaire entre ce taux et l'altération de la capacité de discernement. S'il n'existe aucun autre indice pour déterminer la capacité de discernement, l'expert ne pourra se baser pratiquement que sur la concentration d'alcool dans le sang. Dans une telle hypothèse, une expertise ne se justifie pas ( ATF 119 IV 120 consid. 2b p. 123 s.).</w:t>
      </w:r>
    </w:p>
    <w:p>
      <w:r>
        <w:rPr>
          <w:b/>
        </w:rPr>
        <w:t>E. 2.4</w:t>
      </w:r>
    </w:p>
    <w:p>
      <w:r>
        <w:t>En l'espèce, se fondant sur les calculs de l'expert à l'audience, la cour cantonale a retenu, de manière à lier la Cour de céans ( ATF 105 IV 343 consid. 2a p. 345), un taux légèrement inférieur à 2 g o/oo, comme taux le plus favorable. On peut dès lors présumer, sans violer le droit fédéral, que le recourant jouissait d'une pleine responsabilité au moment des faits. Il n'existe aucun autre élément permettant d'apprécier la capacité de discernement du recourant, de sorte qu'un expert ne pourrait pas apporter des précisions supplémentaires. La cour cantonale n'a donc violé ni l' art. 13 CP ni l' art. 11 CP .</w:t>
      </w:r>
    </w:p>
    <w:p>
      <w:r>
        <w:rPr>
          <w:b/>
        </w:rPr>
        <w:t>E. 3</w:t>
      </w:r>
    </w:p>
    <w:p>
      <w:r>
        <w:t>Le recourant fait valoir que l'infraction de viol ( art. 190 CP ) ne serait pas réalisée dès lors qu'il n'aurait pas agi avec conscience et volonté. Ce que l'auteur savait, voulait ou ce dont il acceptait l'avènement fait partie du contenu de la pensée et la constatation de celui-ci relève de l'établissement des faits ( ATF 119 IV 1 consid. 5a p. 3); les constatations de la cour cantonale à ce sujet lient donc la Cour de céans et ne peuvent dès lors être remises en cause dans le cadre de cette voie de droit ( art. 277bis PPF ). En l'espèce, la cour cantonale a rappelé que, sur le plan subjectif, l'homme devait vouloir ou accepter que la femme ne soit pas consentante et qu'il exerce ou exploite un moyen de contrainte sur elle et a estimé que ces conditions étaient réalisées et, partant, que le recourant avait agi intentionnellement. Dans la mesure où le recourant remet en cause ces constatations de faits, son grief est irrecevable.</w:t>
      </w:r>
    </w:p>
    <w:p>
      <w:r>
        <w:rPr>
          <w:b/>
        </w:rPr>
        <w:t>E. 4</w:t>
      </w:r>
    </w:p>
    <w:p>
      <w:r>
        <w:t>Le recourant s'en prend également à la quotité de la peine qui lui a été infligée, qui serait excessivement sévère et violerait l'article 63 CP.</w:t>
      </w:r>
    </w:p>
    <w:p>
      <w:r>
        <w:rPr>
          <w:b/>
        </w:rPr>
        <w:t>E. 4.1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sa formation et sa réputation ( ATF 118 IV 21 consid. 2b p. 25).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Cela étant,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104 s.).</w:t>
      </w:r>
    </w:p>
    <w:p>
      <w:r>
        <w:rPr>
          <w:b/>
        </w:rPr>
        <w:t>E. 4.2</w:t>
      </w:r>
    </w:p>
    <w:p>
      <w:r>
        <w:t>En l'espèce, la cour cantonale a fixé la peine en suivant les critères cités au considérant précédent et sans se laisser guider par des considérations étrangères à ceux-ci. A charge du recourant, elle a retenu que le recourant n'avait pas hésité, pour arriver à ses fins, à faire preuve de violence envers une personne qu'il connaissait bien et qui avait confiance en lui. A décharge, elle a mentionné que le recourant avait un casier judiciaire vierge et que les renseignements professionnels étaient bons. Elle a également tenu compte en faveur du recourant du comportement de la victime dans les mois qui ont précédé les faits et du taux d'alcoolémie qui était au maximum proche de 2 g o/oo. Le recourant reproche à la cour cantonale de ne pas avoir tenu compte de l'attitude de la victime avant et pendant le réveillon 2000, ainsi que du taux d'alcoolémie de cette dernière, qui donne à penser qu'elle ne savait pas très bien ce qu'elle faisait. Ces reproches sont infondés, dès lors que la cour cantonale a expressément mentionné lors de la discussion de la quotité de la peine le comportement ambigu et équivoque de la victime dans les mois précédant les faits. Au demeurant, elle a exposé en détails les faits qui se sont déroulés le jour du réveillon 2000 et a indiqué le taux d'alcoolémie de la victime. Elle n'avait pas à répéter ces éléments au moment de fixer la peine. Le jugement formant un tout, on admet en effet que le juge garde à l'esprit l'ensemble des éléments (Corboz, La motivation de la peine, RJB 1995, p. 1 ss, 24).</w:t>
      </w:r>
    </w:p>
    <w:p>
      <w:r>
        <w:rPr>
          <w:b/>
        </w:rPr>
        <w:t>E. 4.3</w:t>
      </w:r>
    </w:p>
    <w:p>
      <w:r>
        <w:t>En définitive, au vu de l'ensemble des circonstances du cas, la peine de deux ans de réclusion infligée au recourant n'apparaît pas sévère à un point tel qu'il faille conclure à un abus du large pouvoir d'appréciation accordé à la cour cantonale. Cette dernière a motivé de manière suffisante la peine, et le recourant n'invoque aucun élément, propre à la modifier, qu'elle aurait omis ou pris en considération à tort. Le grief de violation de l' art. 63 CP est dès lors infondé.</w:t>
      </w:r>
    </w:p>
    <w:p>
      <w:r>
        <w:rPr>
          <w:b/>
        </w:rPr>
        <w:t>E. 5</w:t>
      </w:r>
    </w:p>
    <w:p>
      <w:r>
        <w:t>Au vu de ce qui précède, le pourvoi doit être rejeté dans la mesure où il est recevable. Le recourant, qui succombe, doit être condamné aux frais ( art. 278 al. 1 PPF ). 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