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6S.96/2006 vom 3. April 2006</w:t>
      </w:r>
    </w:p>
    <w:p>
      <w:r>
        <w:t>Bundesgericht, 2006-04-03, FR</w:t>
      </w:r>
    </w:p>
    <w:p>
      <w:r>
        <w:rPr>
          <w:b/>
        </w:rPr>
        <w:t xml:space="preserve">Quelle: </w:t>
      </w:r>
      <w:r>
        <w:t>https://mcp.opencaselaw.ch/entscheid/bger_6S.96_2006</w:t>
      </w:r>
    </w:p>
    <w:p>
      <w:r>
        <w:t>FR: TF 6S.96/2006 du 3 avril 2006</w:t>
      </w:r>
    </w:p>
    <w:p>
      <w:r>
        <w:t>IT: TF 6S.96/2006 del 3 aprile 2006</w:t>
      </w:r>
    </w:p>
    <w:p>
      <w:pPr>
        <w:pStyle w:val="Heading2"/>
      </w:pPr>
      <w:r>
        <w:t>Erwägungen</w:t>
      </w:r>
    </w:p>
    <w:p>
      <w:r>
        <w:rPr>
          <w:b/>
        </w:rPr>
        <w:t>E. 1</w:t>
      </w:r>
    </w:p>
    <w:p>
      <w:r>
        <w:t>Le pourvoi en nullité ne peut être formé que pour violation du droit fédéral, à l'exclusion de la violation de droits constitutionnels ( art. 269 PPF ).</w:t>
      </w:r>
    </w:p>
    <w:p>
      <w:r>
        <w:t>Le Tribunal fédéral n'est pas lié par les motifs invoqués, mais il ne peut aller au-delà des conclusions du recourant ( art. 277bis PPF ). Les conclusions, qui doivent être interprétées à la lumière de leur motivation, circonscrivent donc les points litigieux ( ATF 127 IV 101 consid. 1 p. 103).</w:t>
      </w:r>
    </w:p>
    <w:p>
      <w:r>
        <w:t>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 Il s'ensuit que l'argumentation du recourant est irrecevable dans la mesure où il conteste sa vitesse et les calculs de l'expert, puisque de la sorte il s'en prend à l'établissement des faits et à l'appréciation des preuves.</w:t>
      </w:r>
    </w:p>
    <w:p>
      <w:r>
        <w:rPr>
          <w:b/>
        </w:rPr>
        <w:t>E. 2</w:t>
      </w:r>
    </w:p>
    <w:p>
      <w:r>
        <w:t>Le recourant conteste s'être rendu coupable d'homicide par négligence.</w:t>
      </w:r>
    </w:p>
    <w:p>
      <w:r>
        <w:t>L' art. 117 CP , qui réprime l'homicide par négligence, suppose la réunion de trois conditions: le décès d'une personne, une négligence et un lien de causalité entre la négligence et la mort ( ATF 122 IV 145 consid. 3 p. 147).</w:t>
      </w:r>
    </w:p>
    <w:p>
      <w:r>
        <w:rPr>
          <w:b/>
        </w:rPr>
        <w:t>E. 2.1</w:t>
      </w:r>
    </w:p>
    <w:p>
      <w:r>
        <w:t>La première condition est réalisée en l'espèce, puisque la victime est décédée des suites de l'accident.</w:t>
      </w:r>
    </w:p>
    <w:p>
      <w:r>
        <w:rPr>
          <w:b/>
        </w:rPr>
        <w:t>E. 2.2</w:t>
      </w:r>
    </w:p>
    <w:p>
      <w:r>
        <w:t>La négligence est définie à l' art. 18 al. 3 CP , selon lequel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w:t>
      </w:r>
    </w:p>
    <w:p>
      <w:r>
        <w:t>Pour qu'il y ait homicide par négligence, il faut tout d'abord que l'auteur ait violé les règles de prudence que les circonstances lui imposaient pour ne pas excéder les limites du risque admissible ( ATF 122 IV 145 consid. 3b/aa p. 147). Pour déterminer plus précisément quels étaient les devoirs imposés par la prudence, on peut se référer à des normes édictées par l'ordre juridique pour assurer la sécurité et éviter les accidents. Dans le domaine du trafic routier, on se référera donc aux règles de la circulation ( ATF 126 IV 91 consid. 4a/aa p. 92; 122 IV 133 consid. 2a p. 135, 225 consid. 2a p. 227).</w:t>
      </w:r>
    </w:p>
    <w:p>
      <w:r>
        <w:t>Selon l' art. 31 al. 1 LCR , "le conducteur devra rester constamment maître de son véhicule de façon à pouvoir se conformer aux devoirs de la prudence". L' art. 33 LCR prévoit que "le conducteur facilitera aux piétons la traversée de la chaussée " (al. 1). "Avant les passages pour piétons, le conducteur circulera avec une prudence particulière et, au besoin, s'arrêtera pour laisser la priorité aux piétons qui se trouvent déjà sur le passage ou s'y engagent" (al. 2). "Aux endroits destinés à l'arrêt des véhicules des transports publics, le conducteur aura égard aux personnes qui montent dans ces véhicules ou qui en descendent" (al. 3).</w:t>
      </w:r>
    </w:p>
    <w:p>
      <w:r>
        <w:t>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103 IV 101 consid. 2b p. 104). La "prudence particulière" avant les passages pour piétons que doit adopter le conducteur selon l' art. 33 al. 2 LCR signifie qu'il doit porter une attention accrue à ces passages protégés et à leurs abords par rapport au reste du trafic et être prêt à s'arrêter à temps si un piéton traverse la chaussée ou en manifeste la volonté (cf. ATF 121 IV 286 consid. 4b p. 291/292; 115 II 283 consid. 1a p. 285).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(cf. ZR 1991 p. 250 n° 78, JT 1993 I p. 710). La situation n'est pas différente de celle où un bus s'arrête à un arrêt, ce qui crée souvent un état de fait dangereux ( ATF 97 IV 242 consid. 2 p. 244 s.).</w:t>
      </w:r>
    </w:p>
    <w:p>
      <w:r>
        <w:t>Selon les faits constatés, qui lient le Tribunal fédéral, un bus des transports publics était arrêté de l'autre côté de la chaussée et empêchait le recourant d'observer la situation à proximité du passage pour piétons. Contrairement à ce que semble croire le recourant, il ne lui est pas reproché d'avoir été surpris par une enfant s'élançant à l'improviste sur la route, mais de ne pas avoir adapté son attitude à la configuration particulière où un bus des transports publics réduisait sa visibilité. Dans ces conditions, le recourant aurait dû réduire sa vitesse de manière à pouvoir s'arrêter et ainsi parer à l'éventuel comportement d'un piéton dissimulé derrière le bus, l'expérience enseignant qu'en pareil cas des piétons descendant du bus s'engagent sur la chaussée et la traversent parfois sans s'assurer qu'elle est libre. Or, selon les constatations cantonales, le recourant circulait à une vitesse de 58 km/h (alors que la vitesse autorisée était de 50 km/h), ne freinant qu'au moment du choc. Aussi, le recourant a-t-il négligé le devoir de prudence découlant en particulier de l' art. 33 al. 2 LCR , qui lui imposait d'adapter sa vitesse de manière à pouvoir immobiliser son véhicule avant le passage pour piétons. Il est à cet égard sans importance que la fillette ait traversé sur le passage pour piétons ou à quelques mètres de celui-ci (le bus recouvrant la totalité du passage), dès lors que la prudence particulière exigée par l' art. 33 al. 2 LCR s'étend également aux abords du passage de sécurité.</w:t>
      </w:r>
    </w:p>
    <w:p>
      <w:r>
        <w:rPr>
          <w:b/>
        </w:rPr>
        <w:t>E. 2.3</w:t>
      </w:r>
    </w:p>
    <w:p>
      <w:r>
        <w:t>Lorsque, comme en l'espèce, il y a eu violation des règles de la prudence, il faut encore se demander si celle-ci peut être imputée à faute, c'est-à-dire si l'on peut reprocher à l'auteur, compte tenu de ses circonstances personnelles, d'avoir fait preuve d'un manque d'effort blâmable ( ATF 122 IV 17 consid. 2b/ee p. 22, 145 consid. 3b/aa p. 148; 121 IV 207 consid. 2a p. 211/212). Il ne ressort nullement des faits constatés que des circonstances particulières auraient empêché le recourant de se conformer à ses devoirs. Il faut donc conclure qu'il a commis une négligence.</w:t>
      </w:r>
    </w:p>
    <w:p>
      <w:r>
        <w:rPr>
          <w:b/>
        </w:rPr>
        <w:t>E. 2.4</w:t>
      </w:r>
    </w:p>
    <w:p>
      <w:r>
        <w:t>Pour que l'infraction d'homicide par négligence soit réalisée, il ne suffit pas qu'il y ait d'une part une violation fautive d'un devoir de prudence et d'autre part le décès d'autrui. Il faut encore que soit établi un rapport de causalité entre cette violation et le décès.</w:t>
      </w:r>
    </w:p>
    <w:p>
      <w:r>
        <w:t>Le recourant ne remet pas en cause le rapport de causalité naturelle entre son comportement et le décès, ce qu'il ne pourrait d'ailleurs faire dans un pourvoi s'agissant d'une question de fait ( ATF 122 IV 17 consid. 2c/aa p. 23), mais conteste l'existence d'un lien de causalité adéquate.</w:t>
      </w:r>
    </w:p>
    <w:p>
      <w:r>
        <w:t>Lorsque la causalité naturelle est retenue, il convient d'examiner si le rapport de causalité peut être qualifié d'adéquat, c'est-à-dire si le comportement était propre, selon le cours ordinaire des choses et l'expérience de la vie, à entraîner un résultat du genre de celui qui s'est produit, ce qui constitue une question de droit que la Cour de cassation revoit librement ( ATF 122 IV 17 consid. 2c/bb p. 23). La causalité adéquate peut encore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 ATF 122 IV 17 consid. 2c/bb p. 23).</w:t>
      </w:r>
    </w:p>
    <w:p>
      <w:r>
        <w:t>En l'espèce, il faut admettre qu'en circulant à une vitesse supérieure à la vitesse prescrite et en n'adaptant pas sa vitesse aux circonstances, le recourant a adopté un comportement de nature, dans le cours ordinaire des choses et selon l'expérience générale de la vie, à entraîner un accident aux conséquences mortelles ou au moins à en favoriser l'avènement. Au demeurant, il n'y a rien d'extraordinaire à ce qu'un enfant surgisse de derrière un bus et s'élance de manière irréfléchie sur un passage de sécurité, de sorte que cet aspect ne saurait reléguer à l'arrière-plan l'autre facteur qui a contribué à l'avènement du résultat, soit la manière de conduire du recourant. Ainsi, l'enchaînement des faits n'est pas de nature à exclure la causalité adéquate entre la violation des devoirs de la prudence du recourant et l'accident.</w:t>
      </w:r>
    </w:p>
    <w:p>
      <w:r>
        <w:rPr>
          <w:b/>
        </w:rPr>
        <w:t>E. 2.5</w:t>
      </w:r>
    </w:p>
    <w:p>
      <w:r>
        <w:t>Compte tenu de ce qui précède, c'est sans violer le droit fédéral que la cour cantonale a condamné le recourant sur la base de l' art. 117 CP .</w:t>
      </w:r>
    </w:p>
    <w:p>
      <w:r>
        <w:rPr>
          <w:b/>
        </w:rPr>
        <w:t>E. 3</w:t>
      </w:r>
    </w:p>
    <w:p>
      <w:r>
        <w:t>Dans la mesure où il est recevable, le pourvoi doit ainsi être rejeté ( art. 278 al. 1 PPF ).</w:t>
      </w:r>
    </w:p>
    <w:p>
      <w:r>
        <w:t>Succombant, le recourant sera condamné aux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