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6S.916/1999 vom 27. April 1999</w:t>
      </w:r>
    </w:p>
    <w:p>
      <w:r>
        <w:t>Bundesgericht, 1999-04-27, FR</w:t>
      </w:r>
    </w:p>
    <w:p>
      <w:r>
        <w:rPr>
          <w:b/>
        </w:rPr>
        <w:t xml:space="preserve">Quelle: </w:t>
      </w:r>
      <w:r>
        <w:t>https://mcp.opencaselaw.ch/entscheid/bger_6S.916_1999</w:t>
      </w:r>
    </w:p>
    <w:p>
      <w:r>
        <w:t>FR: TF 6S.916/1999 du 27 avril 1999</w:t>
      </w:r>
    </w:p>
    <w:p>
      <w:r>
        <w:t>IT: TF 6S.916/1999 del 27 aprile 1999</w:t>
      </w:r>
    </w:p>
    <w:p>
      <w:pPr>
        <w:pStyle w:val="Heading2"/>
      </w:pPr>
      <w:r>
        <w:t>Regeste</w:t>
      </w:r>
    </w:p>
    <w:p>
      <w:r>
        <w:t>Droit pénal (en général)</w:t>
      </w:r>
    </w:p>
    <w:p>
      <w:pPr>
        <w:pStyle w:val="Heading2"/>
      </w:pPr>
      <w:r>
        <w:t>Erwägungen</w:t>
      </w:r>
    </w:p>
    <w:p>
      <w:r>
        <w:rPr>
          <w:b/>
        </w:rPr>
        <w:t>E. 1</w:t>
      </w:r>
    </w:p>
    <w:p>
      <w:r>
        <w:t>a) Le recourant conteste la quotité de la peine qui lui a été infligée. b) Tout en exigeant que la peine soit fondée sur la faute, l' art. 63 CP n'énonce pas de manière détaillée et exhaustive les éléments qui doivent être pris en considération, ni les conséquences exactes qu'il faut en tirer quant à la fixation de la peine; il confère donc au juge un large pouvoir d'appréciation ( ATF 123 IV 49 consid. 2a p. 50 s. et les arrêts cités). Le juge fixera la peine d'après la culpabilité du délinquant, en tenant compte des mobiles, des antécédents et de la situation personnelle de ce dernier. Le critère essentiel est celui de la gravité de la faute; le juge doit prendre en considération, à cet égard, en premier lieu les éléments qui portent sur l'acte lui-même, à savoir sur le résultat de l'activité illicite, sur le mode et l'exécution et, du point de vue subjectif, sur l'intensité de la volonté délictueuse ainsi que sur les mobiles ( ATF 118 IV 21 consid. 2b); l'importance de la faute dépend aussi de la liberté de décision dont disposait l'auteur; plus il lui aurait été facile de respecter la norme qu'il a enfreinte, plus lourdement pèse sa décision de l'avoir transgressée et partant sa faute ( ATF 122 IV 241 consid. 1a p. 243 et les arrêts cités). 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pouvoird'appréciation ( ATF 123 IV 49 consid. 2a p.50 s. ,150 consid. 2a p.152 s. et les arrêts cités). c) Le recourant estime que la peine n'est pas compatible avec l'ensemble des circonstances personnelles de la cause, avec la gravité objective des infractions commises, avec ses perspectives de réinsertion sociale et les efforts qu'il a déployés pour les mettre en place, et enfin, avec les conclusions de l'expertise psychiatrique qui attestent d'une responsabilité pénale moyennement diminuée. Il soutient que les juges cantonaux auraient dû tenir compte de sa dépendance aux stupéfiants non seulement en diminuant sa responsabilité pénale mais aussi en fixant la peine en sachant qu'en mettant fin à sa toxicomanie, il sortirait en même temps de la délinquance. d) En l'espèce, il n'est pas contesté que la peine a été fixée dans le cadre légal. La cour cantonale a retenu, à charge, que les vols à l'arraché avaient été commis au préjudice de personnes âgées, que le recourant avait tenté de voler une personne qui l'avait hébergé et que son trafic de drogue portait sur une quantité juste à la limite du cas grave. Elle a également retenu que son repentir n'était pas très convaincant, qu'il avait de très lourds antécédents, qu'il était récidiviste et que ses actes entraient en concours. Les premiers juges ont rappelé que le recourant n'avait pas su profiter du sursis accordé en 1988 par le Tribunal des mineurs ni du sursis à l'expulsion accordé le 13 décembre 1990, ces deux sursis ayant été révoqués. A décharge, les juges cantonaux ont pris en considération la responsabilité moyennement diminuée du recourant, précisant qu'ils tenaient ainsi compte de sa polytoxicomanie. Ils ont également tenu compte d'une certaine prise de conscience du recourant, de son attitude collaborante durant l'enquête et de son engagement à dédommager l'une des victimes. La cour cantonale a donc fixé la peine en se fondant sur les critères pertinents, sans se laisser guider par des éléments étrangers à l' art. 63 CP . On ne peut pas dire, en analysant l'ensemble des faits retenus, que l'autorité cantonale a excédé les limites de son large pouvoir d'appréciation en fixant la peine à 15 mois d'emprisonnement.</w:t>
      </w:r>
    </w:p>
    <w:p>
      <w:r>
        <w:rPr>
          <w:b/>
        </w:rPr>
        <w:t>E. 2</w:t>
      </w:r>
    </w:p>
    <w:p>
      <w:r>
        <w:t>a) Le recourant conteste également le bien-fondé de la décision d'expulsion. Il estime que les autorités cantonales ont abusivement minimisé ses attaches avec la Suisse alors qu'il est né en Suisse, qu'il est titulaire d'un permis C, qu'il a passé toute son existence dans ce pays et que ses parents se trouvent en Suisse. Il souligne que c'est ici que se trouvent les personnes qui lui prodiguent soutien moral, assistance personnelle et matérielle et qui sont susceptibles de lui apporter à l'avenir le suivi et l'encadrement indispensables à sa réinsertion, comme le Centre du Levant qui s'y est déjà engagé. En outre, le recourant rappelle qu'il souhaite reprendre la vie commune avec la mère de son enfant qui habite en Suisse et qui est prête à recommencer sa relation avec lui. Le recourant relève que les infractions qu'il a commises de même que ses antécédents découlent de l'engrenage de la dépendance aux produits stupéfiants plus que de la volonté de nuire à autrui. Il estime en outre qu'en prononçant son expulsion, l'autorité cantonale a porté une atteinte disproportionnée à son droit à la vie familiale garanti par l' art. 8 CEDH . Ce dernier grief est irrecevable dans le cadre d'un pourvoi en nullité ( art. 269 al. 2 PPF ; ATF 121 IV 104 consid. 2b p. 106 s.). Dans sa réponse, le Ministère public se réfère aux considérants de l'arrêt attaqué et allègue des éléments de fait non constatés par l'autorité cantonale. De telles allégations sont irrecevables puisque le Tribunal fédéral est lié par l'état de fait arrêté par la cour cantonale (art. 277bis al. 1 et 273 al. 1 let. b PPF). b) Selon l' art. 55 al. 1 CP , le juge peut expulser du territoire suisse, pour une durée de 3 à 15 ans, tout étranger condamné à la réclusion ou à l'emprisonnement. Il dispose d'un large pouvoir d'appréciation et ne viole le droit fédéral que s'il ne fonde pas sa décision sur les critères pertinents ou s'il abuse de son pouvoir d'appréciation en prenant une décision exagérément sévère ou clémente ( ATF 123 IV 107 consid. 1 p. 108 s.; 104 IV 222 consid. 1b p. 223 s. et l'arrêt cité). Doit être considéré comme étranger celui qui n'est pas suisse, même s'il est au bénéfice d'un permis d'établissement ( ATF 123 IV 107 consid. 1 p. 108 s.). Le juge doit toutefois faire preuve de retenue avant de prononcer l'expulsion d'un étranger qui vit depuis longtemps en Suisse, qui y est enraciné, qui n'a plus guère de rapport avec l'étranger et qui serait dès lors lourdement frappé par une expulsion ( ATF 117 IV 112 consid. 3a p. 117 s.). Cependant, l'expulsion d'une personne au bénéfice d'un permis d'établissement n'est pas absolument exclue ( ATF 112 IV 70 ). Il en va de même pour un étranger né en Suisse. Dans une décision récente, la Cour européenne des droits de l'homme a traité le cas d'un Algérien arrivé en France à l'âge de 2 ans et dont les parents et les frères et soeurs vivaient en France. Il avait été condamné à trois ans d'emprisonnement, dont deux avec sursis, pour trafic de stupéfiants. La Cour européenne a estimé que la mesure d'interdiction du territoire français prononcée ne violait pas l' art. 8 CEDH , disposition qui garantit le respect de la vie privée et familiale. Elle a relevé que le recourant, célibataire et sans enfant, n'avait pas démontré entretenir des relations étroites avec ses parents ou ses frères et soeurs habitant en France, qu'il avait déjà fait l'objet d'une mesure d'interdiction du territoire français, qu'il n'avait jamais prétendu ignorer la langue arabe, qu'il avait effectué son service militaire en Algérie et y avait passé plusieurs périodes de vacances, qu'il avait ainsi conservé avec son pays natal des liens autres que la seule nationalité, et que l'infraction commise constituait une grave atteinte à l'ordre public et à la protection de la santé d'autrui. La Cour européenne a donc conçu que les autorités fassent preuve d'une grande fermeté à l'égard de ceux qui contribuaient à la propagation de ce fléau (arrêt CEDH du 30 novembre 1999, Baghli c. France). L'expulsion est à la fois une peine accessoire réprimant une infraction et une mesure servant à la protection de la sécurité publique; la jurisprudence récente admet qu'elle a principalement le caractère d'une mesure de sûreté. Pour décider de prononcer ou non une expulsion, le juge doit tenir compte à la fois des critères qui régissent la fixation d'une peine et du but de sécurité publique que remplit l'expulsion ( ATF 123 IV 107 consid. 1 p. 108 s.; 117 IV 112 consid. 3a p. 117 s., 229 consid. 1 p. 230 s.). La décision sur l'expulsion ne se confond pas entièrement avec la fixation de la peine principale; elle suppose un examen spécifique de la situation personnelle de l'intéressé ( ATF 104 IV 222 consid. 1b p. 223 s.). Le juge doit ainsi tenir compte du fait que l'expulsion touchera modérément l'étranger qui n'est venu en Suisse que pour y commettre des infractions et qui n'a pas de liens particuliers avec notre pays. A l'inverse, elle représentera une sanction très lourde pour celui qui vit et travaille en Suisse, y est intégré depuis plusieurs années et y a, le cas échéant, fondé une famille. La situation du condamné détermine ainsi les conséquences qu'aura pour lui l'expulsion et influence donc largement la gravité que revêtira cette sanction. c) En l'espèce, le juge avait la faculté d'expulser le recourant pour une durée de 3 à 15 ans puisqu'il n'a pas la nationalité suisse et qu'il a été condamné à une peine d'emprisonnement. A l'appui de l'expulsion, la cour cantonale a relevé que le recourant avait vécu dans la délinquance et la toxicomanie depuis 1988 (soit depuis l'âge de 17 ans), et qu'il n'avait jamais exercé d'activité professionnelle régulière. Les cinq condamnations encourues entre 1990 et 1997 ne lui avaient pas permis de prendre conscience de la gravité de ses actes et ne l'avaient pas incité à faire un effort sérieux de réinsertion sociale. L'autorité cantonale a constaté que le recourant avait toujours fait état de ses bonnes intentions devant les tribunaux mais qu'il n'avait su profiter ni du sursis octroyé en 1988, ni du sursis à l'expulsion octroyé en 1990. Enfin, il avait abandonné après 28 jours le traitement qu'il avait été autorisé à effectuer au Centre du Levant en 1996. Au terme de chacune de ses périodes de détention, le recourant avait repris sa consommation de produits stupéfiants et avait à nouveau sombré dans la délinquance. La cour cantonale a estimé que les infractions faisant l'objet de son arrêt n'étaient pas dénuées de gravité, le recourant ayant notamment pratiqué le vol à l'arraché de sacs appartenant à des personnes âgées. Elle a donc estimé que l'expulsion était justifiée en tant que mesure de sûreté. A cet égard, les juges cantonaux n'ont pas abusé de leur large pouvoir d'appréciation. La cour cantonale a également estimé que l'expulsion ne constituait pas une peine accessoire trop sévère au vu de la situation personnelle du recourant. Elle a retenu que le recourant était fâché avec ses parents et que l'on ne pouvait accorder une importance déterminante aux liens qui l'unissaient à son ex-amie et à son fils puisque après les avoir quittés en décembre 1997, il n'avait recommencé à se préoccuper d'eux que lors de son incarcération fin 1998. En outre, la jeune femme avait déclaré que le recourant devait montrer qu'il était capable de s'assumer lui-même avant qu'elle n'envisage de revivre avec lui. Or les perspectives de réinsertion du recourant paraissaient pour le moins floues et il n'avait actuellement aucun avenir professionnel. En conclusion, les juges cantonaux ont estimé qu'il n'y avait aucun motif de considérer que les projets dont le recourant se prévalait étaient plus sérieux que ceux qu'il avait formulés durant les dix dernières années. Par conséquent, le recourant ne pouvait pas être considéré comme enraciné en Suisse ni sur le plan sentimental et familial, ni sur le plan professionnel. L'analyse des juges cantonaux ne prête pas le flanc à la critique. Cela étant, on ne trouve dans l'arrêt attaqué aucun élément de fait relatif aux liens que le recourant entretient avec son pays d'origine. Il n'est notamment pas indiqué s'il parle l'espagnol, s'il séjourne occasionnellement en Espagne ou y a séjourné, s'il y possède de la parenté, etc. Ces éléments représentent cependant un facteur important pour déterminer si l'expulsion constituerait en l'espèce une peine accessoire exagérément sévère. En l'absence de constatations cantonales sur cette question, la Cour de céans n'est pas en mesure de juger si l' art. 55 CP a été appliqué en conformité avec le droit fédéral. La cause sera donc renvoyée à l'autorité cantonale en application de l' art. 277 PPF , afin qu'elle détermine quels sont les liens que le recourant entretient avec son pays d'origine et qu'elle statue à nouveau sur la question de l'expulsion.</w:t>
      </w:r>
    </w:p>
    <w:p>
      <w:r>
        <w:rPr>
          <w:b/>
        </w:rPr>
        <w:t>E. 3</w:t>
      </w:r>
    </w:p>
    <w:p>
      <w:r>
        <w:t>Le recourant obtient gain de cause sur un point, mais succombe sur un autre. Il supportera donc un émolument judiciaire réduit ( art. 278 al. 1 PPF ), et une indemnité réduite sera versée à son mandataire à titre de dépens ( art. 278 al. 3 PPF ). Le recourant a sollicité l'assistance judiciaire. Cette requête est devenue sans objet dans la mesure où le pourvoi a été admis. Elle est rejetée pour le surplus car le grief écarté était dépourvu de chances de succès ( art. 152 al. 1 OJ ).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