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6S.912/1999 vom 19. Mai 2000</w:t>
      </w:r>
    </w:p>
    <w:p>
      <w:r>
        <w:t>Bundesgericht, 2000-05-19, FR</w:t>
      </w:r>
    </w:p>
    <w:p>
      <w:r>
        <w:rPr>
          <w:b/>
        </w:rPr>
        <w:t xml:space="preserve">Quelle: </w:t>
      </w:r>
      <w:r>
        <w:t>https://mcp.opencaselaw.ch/entscheid/bger_6S.912_1999</w:t>
      </w:r>
    </w:p>
    <w:p>
      <w:r>
        <w:t>FR: TF 6S.912/1999 du 19 mai 2000</w:t>
      </w:r>
    </w:p>
    <w:p>
      <w:r>
        <w:t>IT: TF 6S.912/1999 del 19 maggio 2000</w:t>
      </w:r>
    </w:p>
    <w:p>
      <w:pPr>
        <w:pStyle w:val="Heading2"/>
      </w:pPr>
      <w:r>
        <w:t>Regeste</w:t>
      </w:r>
    </w:p>
    <w:p>
      <w:r>
        <w:t>Infractions</w:t>
      </w:r>
    </w:p>
    <w:p>
      <w:pPr>
        <w:pStyle w:val="Heading2"/>
      </w:pPr>
      <w:r>
        <w:t>Erwägungen</w:t>
      </w:r>
    </w:p>
    <w:p>
      <w:r>
        <w:rPr>
          <w:b/>
        </w:rPr>
        <w:t>E. 1</w:t>
      </w:r>
    </w:p>
    <w:p>
      <w:r>
        <w:t>Selon l' art. 270 al. 1 PPF , le lésé peut se pourvoir en nullité s'il était déjà partie à la procédure auparavant et dans la mesure où la sentence peut avoir des effets sur le jugement de ses prétentions civiles. Le lésé qui a la qualité de victime au sens de l' art. 2 LAVI , peut également déduire sa qualité pour recourir, aux mêmes conditions, de l' art. 8 al. 1 let . c LAVI (cf. ATF 120 IV 44 consid. 2a et b p. 49). Parents de B.________, les recourants doivent être assimilés à la victime ( art. 2 al. 2 let. b LAVI ) pour l'infraction d'homicide par négligence ( art. 117 CP ) qu'ils invoquent. Ils ont participé à la procédure auparavant. En instance cantonale, ils ont demandé la réserve de leurs prétentions civiles contre l'intimé. A l'appui du pourvoi, ils relèvent que le sort de la procédure pénale sera déterminant sur les conclusions civiles qu'ils entendent prendre contre l'intimé en réclamation de dommages-intérêts et d'octroi d'une indemnité pour tort moral. La jurisprudence exige que le lésé ait pris des conclusions civiles sur le fond dans le cadre de la procédure pénale, pour autant que cela pouvait être raisonnablement exigé de lui; des conclusions civiles ne sont ainsi pas nécessaires lorsque le dommage n'est pas encore établi ou ne peut pas encore être chiffré ( ATF 121 IV 207 consid. 1a p. 210 et les arrêts cités). Il incombe alors à la personne lésée qui n'a pas pris de conclusions civiles d'expliquer quelle prétention civile elle entend faire valoir et pourquoi elle n'a pas agi ( ATF 120 IV 44 consid. 8 p. 57 s.). Cette exigence découle de la conception de la LAVI, qui a en particulier pour but de permettre à la victime de faire valoir ses prétentions dans la procédure pénale elle-même. Si elle n'est pas respectée, le Tribunal fédéral n'entre pas en matière (cf. ATF 123 IV 184 consid. 1b p. 188; Gomm/Stein/Zehnter, Kommentar zum Opferhilfegesetz, Berne 1995, p. 144 n. 14; Corboz, Les droits procéduraux découlant de la LAVI, in SJ 1996 p. 78; Eva Weishaupt, Die verfahrensrechtlichen Bestimmungen des Opferhilfegesetzes, Zurich 1998, p. 299 ss). En l'espèce, alors que la procédure pénale a été menée jusqu'au stade du jugement, les recourants n'y ont pas articulé de prétentions civiles mais se sont limités à demander la réserve de leurs droits; en d'autres termes, ils ont simplement signalé qu'ils pourraient s'en prévaloir ultérieurement, dans une autre procédure. On ne saurait donc en déduire qu'ils ont pris des conclusions civiles sur le fond. En pareil cas, ils leur incombait d'exposer les raisons de leur abstention, en particulier de dire en quoi le dommage et le tort moral n'étaient pas établis ou ne pouvaient, en tout état, qu'être difficilement calculés. Or, bien qu'assistés d'un avocat, ils ne s'expliquent nullement et, en l'absence de toute précision, on ne discerne rien qui les empêchait de conclure sur le fond. Dans ces conditions, les recourants ne peuvent remettre en cause le prononcé pénal (cf. Bernhard Sträuli, Pourvoi en nullité et recours de droit public au Tribunal fédéral: étude de procédure pénale suisse et genevoise, Berne 1995, p. 92 n. 227). Le pourvoi est irrecevable.</w:t>
      </w:r>
    </w:p>
    <w:p>
      <w:r>
        <w:rPr>
          <w:b/>
        </w:rPr>
        <w:t>E. 2</w:t>
      </w:r>
    </w:p>
    <w:p>
      <w:r>
        <w:t>Les frais doivent être mis à la charge des recourants qui succombent ( art. 278 al. 1 PPF ). Comme le pourvoi était d'emblée dépourvu de chances de succès, l'assistance judiciaire est refusée ( art. 152 al. 1 OJ ). Il n'y a pas lieu d'allouer une indemnité à l'intimé qui n'est pas intervenu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