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6S.801/1999 vom 27. Januar 2000</w:t>
      </w:r>
    </w:p>
    <w:p>
      <w:r>
        <w:t>Bundesgericht, 2000-01-27, FR</w:t>
      </w:r>
    </w:p>
    <w:p>
      <w:r>
        <w:rPr>
          <w:b/>
        </w:rPr>
        <w:t xml:space="preserve">Quelle: </w:t>
      </w:r>
      <w:r>
        <w:t>https://mcp.opencaselaw.ch/entscheid/bger_6S.801_1999</w:t>
      </w:r>
    </w:p>
    <w:p>
      <w:r>
        <w:t>FR: TF 6S.801/1999 du 27 janvier 2000</w:t>
      </w:r>
    </w:p>
    <w:p>
      <w:r>
        <w:t>IT: TF 6S.801/1999 del 27 gennaio 2000</w:t>
      </w:r>
    </w:p>
    <w:p>
      <w:pPr>
        <w:pStyle w:val="Heading2"/>
      </w:pPr>
      <w:r>
        <w:t>Regeste</w:t>
      </w:r>
    </w:p>
    <w:p>
      <w:r>
        <w:t>Infractions</w:t>
      </w:r>
    </w:p>
    <w:p>
      <w:pPr>
        <w:pStyle w:val="Heading2"/>
      </w:pPr>
      <w:r>
        <w:t>Erwägungen</w:t>
      </w:r>
    </w:p>
    <w:p>
      <w:r>
        <w:rPr>
          <w:b/>
        </w:rPr>
        <w:t>E. 1</w:t>
      </w:r>
    </w:p>
    <w:p>
      <w:r>
        <w:t>La présente cause a déjà été portée, par la voie du pourvoi en nullité, devant la Cour de céans et c'est à la suite d'un arrêt de cassation qu'elle a été renvoyée à l'autorité cantonale pour qu'il soit statué à nouveau, comme le prévoit l' art. 277ter al. 1 PPF . Dans un tel cas, la cour cantonale doit procéder conformément à l' art. 277ter al. 2 PPF , qui dispose que "l'autorité cantonale doit fonder sa décision sur les considérants de droit de l'arrêt de cassation"; elle ne peut donc pas s'écarter du raisonnement juridique de l'arrêt de cassation et ne peut examiner que les questions laissées ouvertes par cet arrêt (cf. ATF 121 IV 109 consid. 7 p. 128, 110 IV 116, 106 IV 194 consid. 1c, 103 IV 73 consid. 1). Saisie d'un nouveau pourvoi, la Cour de céans est elle-même liée par les considérants de droit du premier arrêt de cassation, sur lesquels il ne sau-rait être question de revenir ( ATF 106 IV 194 consid. 1c, 101 IV 103 consid. 2).</w:t>
      </w:r>
    </w:p>
    <w:p>
      <w:r>
        <w:rPr>
          <w:b/>
        </w:rPr>
        <w:t>E. 2</w:t>
      </w:r>
    </w:p>
    <w:p>
      <w:r>
        <w:t>Le recourant se plaint de la violation des art. 7 et 12 de la Convention européenne d'extradition (CEextr. RS 0.353. 1). Ce grief a déjà été soulevé par le recourant lors du premier pourvoi en nullité déposé contre l'arrêt cantonal du 31 août 1998. Dans son arrêt du 4 mars 1999, la Cour de céans a déclaré le grief irrecevable, en raison du non épuisement des instances cantonales. Le recourant n'est donc pas autorisé à revenir sur cette question dans le cadre du pourvoi en nullité dirigé contre la deuxième décision cantonale (cf. supra, consid. 1 et ATF 111 II 94 consid. 2 p. 95). Son grief est pour ce motif irrecevable.</w:t>
      </w:r>
    </w:p>
    <w:p>
      <w:r>
        <w:rPr>
          <w:b/>
        </w:rPr>
        <w:t>E. 3</w:t>
      </w:r>
    </w:p>
    <w:p>
      <w:r>
        <w:t>Le recourant se plaint de la violation des art. 19 ch. 4 LStup et 4 de la Convention du 26 juin 1936 pour la répression du trafic illicite de drogues nuisibles. A nouveau, il s'agit d'un grief qu'il a déjà fait valoir dans le pourvoi en nullité dirigé contre l'arrêt cantonal du 31 août 1998. Dans son arrêt du 4 mars 1999, la Cour de céans a considéré que ces deux dispositions n'avaient pas été violées. Le grief est donc irrecevable (cf. supra, consid. 1).</w:t>
      </w:r>
    </w:p>
    <w:p>
      <w:r>
        <w:rPr>
          <w:b/>
        </w:rPr>
        <w:t>E. 4</w:t>
      </w:r>
    </w:p>
    <w:p>
      <w:r>
        <w:t>Invoquant une violation de l' art. 63 CP , le recourant soutient que la peine infligée est exagérément sévère. a) Tout en exigeant que la peine soit fondée sur la faute, l' art. 63 CP n'énonce pas de manière détaillée et exhaustive les éléments qui doivent être pris en considération, ni les conséquences exactes qu'il faut en tirer quant à la fixation de la peine; il confère donc au juge un large pouvoir d'appréciation ( ATF 123 IV 49 consid. 2a p. 50 s., 150 consid. 2a p. 152 s.; 122 IV 156 consid. 3b p. 160; 121 IV 193 consid. 2a p. 195 et les arrêts cités). Les éléments pertinents pour la fixation de la peine ont été exposés de manière détaillée dans les ATF 117 IV 112 consid. 1 et 116 IV 288 consid. 2a, auxquels il suffit de se référer.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si les éléments d'appréciation prévus par cette disposition n'ont pas été pris en compte ou enfin si la peine apparaît exagérément sévère ou clémente au point que l'on doive parler d'un abus du pouvoird'appréciation(ATF123IV49consid. 2ap.50s. ,150consid. 2ap.152s. etlesarrêtscités). b) En l'espèce, il n'est pas contesté que la cour cantonale a fixé la peine complémentaire de 16 ½ ans de réclusion dans le cadre légal, en suivant les critères fixés par l' art. 63 CP et sans se laisser guider par des considérations étrangères à cette disposition. Le recourant estime toutefois que la cour cantonale a outrepassé les limites de son pouvoir d'appréciation en ne tenant pas compte dans un sens atténuant de ses aveux spontanés et du risque énorme qu'il a pris en collaborant avec la justice suisse. Il cite à cet égard un arrêt publié aux ATF 121 IV 202 selon lequel il y a lieu de prendre en considération les aveux d'un trafiquant et de réduire la peine en conséquence. La cour cantonale a estimé que l'attitude du recourant en cours d'enquête ne justifiait pas une atténuation de la peine. Elle a relevé que le recourant avait commencé par nier toute participation à un trafic de stupéfiants et n'avait collaboré à la manifestation de la vérité qu'au cours de sa troisième audition, alors qu'il était largement mis en cause. A l'audience de jugement, il s'est montré sûr de lui et arrogant, et n'a fait preuve d'aucun remords, de sorte qu'on ne peut lui attribuer une quelconque volonté d'amendement. Il est exact que sous l'angle de la situation personnelle au moment du jugement, le juge doit tenir compte, en fixant la peine selon les principes de l' art. 63 CP , d'une attitude coopérative durant l'enquête qui montre que l'accusé a pris conscience de sa faute et a la volonté de s'amender (cf. ATF 121 IV 202 consid. 2d/aa p. 204; 118 IV 342 consid. 2d p. 349). De manière à lier la cour de cassation saisie d'un pourvoi en nullité ( art. 277bis PPF ), l'arrêt cantonal retient que le recourant n'a fait preuve d'aucun remords et qu'on ne peut, au vu de son attitude, lui attribuer aucune volonté d'amendement. Sur cette base, l'autorité cantonale n'a pas violé l' art. 63 CP en refusant d'atténuer la peine au motif que le recourant avait passé aux aveux et collaboré avec la justice suisse. c) Le recourant reproche encore à la cour cantonale de n'avoir pas réduit sa peine alors qu'elle avait retenu un bénéfice financier moins important que celui retenu en première instance. Les premiers juges ont estimé que le recourant avait très fortement minimisé ses bénéfices en situant ceux-ci aux environ de 600'000 fr. Ils ont estimé que le recourant avait encaissé des sommes beaucoup plus importantes. La cour cantonale a estimé le bénéfice à 600'000 fr. et a confirmé que le profit illicite réalisé par le recourant correspondait bien à son chiffre d'affaires global, soit 9'985'500 fr. Toutefois, contrairement à ce que semble penser le recourant, la question n'est pas de savoir si la cour cantonale a fixé une peine adéquate compte tenu de celle prononcée en première instance. Seul l'arrêt de la cour cantonale fait l'objet du pourvoi en nullité ( art. 268 ch. 1 PPF ). La question est donc uniquement de savoir si la peine fixée dans l'arrêt attaqué viole ou non le droit fédéral en fonction des faits retenus par la cour cantonale. d) La Cour de cassation du Tribunal fédéral, qui n'interroge pas elle-même les accusés ou les témoins et qui n'établit pas les faits, est mal placée pour apprécier l'ensemble des paramètres pertinents pour individualiser la peine; son rôle est au contraire d'interpréter le droit fédéral et de dégager des critères et des notions qui ont une valeur générale. Elle n'a donc en aucune façon à substituer sa propre appréciation à celle du juge de répression. Elle ne peut intervenir, en considérant le droit fédéral comme violé, que si ce dernier a fait un usage vraiment insoutenable de la marge de manoeuvre que lui accorde le droit fédéral ( ATF 123 IV 150 consid. 2a p. 152 s.). En fixant la peine maximum à 20 ans de réclusion (art. 19 ch. 1 dernier alinéa; art. 35 CP ), le législateur a manifesté sa volonté de réprimer sévèrement les cas graves de trafic de stupéfiants. Il a été retenu en l'espèce que le recourant occupait une position dominante dans un réseau de trafiquants parfaitement organisé, qu'il avait agi par métier, dans un but exclusif d'enrichissement et que ses antécédents étaient défavorables. Son activité a été intense et a porté sur une quantité exceptionnellement importante de drogue particulièrement dangereuse (374, 365 kg d'héroïne). Une telle activité dominante dans une organisation conçue pour se livrer régulièrement au trafic d'héroïne par dizaines de kilos correspond manifestement à l'hypothèse que le législateur avait en vue lorsqu'il a fixé la peine maximum. Dans ces circonstances, les juges cantonaux n'ont pas outrepassé leur large pouvoir d'appréciation en prononçant une peine complémentaire de 16 ½ ans de réclusion.</w:t>
      </w:r>
    </w:p>
    <w:p>
      <w:r>
        <w:rPr>
          <w:b/>
        </w:rPr>
        <w:t>E. 5</w:t>
      </w:r>
    </w:p>
    <w:p>
      <w:r>
        <w:t>Le pourvoi doit ainsi être rejeté dans la mesure où il est recevable et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