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6S.751/2000 vom 22. Februar 2001</w:t>
      </w:r>
    </w:p>
    <w:p>
      <w:r>
        <w:t>Bundesgericht, 2001-02-22, FR</w:t>
      </w:r>
    </w:p>
    <w:p>
      <w:r>
        <w:rPr>
          <w:b/>
        </w:rPr>
        <w:t xml:space="preserve">Quelle: </w:t>
      </w:r>
      <w:r>
        <w:t>https://mcp.opencaselaw.ch/entscheid/bger_6S.751_2000</w:t>
      </w:r>
    </w:p>
    <w:p>
      <w:r>
        <w:t>FR: TF 6S.751/2000 du 22 février 2001</w:t>
      </w:r>
    </w:p>
    <w:p>
      <w:r>
        <w:t>IT: TF 6S.751/2000 del 22 febbraio 2001</w:t>
      </w:r>
    </w:p>
    <w:p>
      <w:pPr>
        <w:pStyle w:val="Heading2"/>
      </w:pPr>
      <w:r>
        <w:t>Regeste</w:t>
      </w:r>
    </w:p>
    <w:p>
      <w:r>
        <w:t>Infractions</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a) aa) L' art. 36 al. 2 LCR prévoit qu'aux intersections, le véhicule qui vient de droite a la priorité. Selon l' art. 1er al. 8 OCR ,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De même, d'après l' art. 15 al. 3 OCR , celui qui, sortant d'une fabrique, d'une cour, d'un garage, d'un chemin rural, d'une piste cyclable, d'une place de stationnement, d'une station d'essence, etc. , ou traversant un trottoir, débouche sur une route principale ou secondaire, est tenu d'accorder la priorité aux usagers de cette route. bb) Les art. 1er al. 8 2 e phrase OCR et 15 al. 3 OCR reposent sur l'idée que la circulation sur les routes de transit (Durchgangsstrassen) ne doit être gênée ni à l'intérieur ni à l'extérieur des localités par des embranchements qui n'ont pratiquement pas ou peu d'importance pour le trafic ( ATF 123 IV 218 consid. 3a; 117 IV 498 consid. 5b; 92 IV 26 consid. 1). Ainsi, lorsqu'un embranchement ne peut être assimilé sans hésitation aux exemples mentionnés par ces dispositions, la jurisprudence s'appuie, pour déterminer s'il s'agit ou non d'une intersection, sur l'importance pour le trafic de la chaussée en cause, en particulier par rapport à la route sur laquelle elle débouche ( ATF 123 IV 218 consid. 3a; 117 IV 498 consid. 4a). Les exceptions à la règle de la priorité de droite prévues par les art. 1er al. 8 2 e phrase OCR et 15 al. 3 OCR risquant de causer des accidents, la sécurité du trafic exige qu'elles soient réduites aux cas clairement reconnaissables pour les usagers, même non familiers des lieux et dans des conditions défavorables de visibilité ( ATF 117 IV 498 consid. 4a; 107 IV 47 consid. 3a). De même, dans l'intérêt d'une clarté des conditions de trafic et du droit de priorité, ces dispositions dérogatoires doivent être interprétées restrictivement, la réglementation ordinaire devant l'emporter en cas de doute ( ATF 123 IV 218 consid. 3a; 117 IV 498 consid. 4a; 107 IV 47 consid. 3a). En conséquence, selon la jurisprudence, un débouché ne constitue une exception à la règle ordinaire de priorité que lorsque l'une des voies est une route de transit et l'autre une voie latérale ou étroite qui n'est manifestement pas destinée au transit et qui n'a pratiquement pas ou peu d'importance pour le trafic (cf. ATF 123 IV 218 consid. 3a; 106 IV 56 consid. 2; Bussy/Rusconi, Code suisse de la circulation routière, Lausanne 1996, n. 3.3 ad art. 36 p. 386 ss; voir aussi René Schaffhauser, Grundriss des schweizerischen Strassenverkehrsrechts, Berne 1984, vol. I, nos 654 ss). Par route de transit, il ne faut pas seulement entendre les autoroutes, les semi-autoroutes et les routes principales, mais d'une manière générale toutes les routes qui présentent au moins par moment un fort trafic, qui relient entre eux des quartiers d'une certaine importance ou des agglomérations et qui ne sont pas seulement réservées au trafic interne d'un quartier ( ATF 112 IV 88 consid. 2c). Ainsi, les ruelles qui ne sont ouvertes qu'à un nombre déterminé de personnes ou qui, de même que les culs-de-sac, ne desservent que quelques maisons, sont d'une importance tellement secondaire au regard des routes de transit qu'elles ne bénéficient pas de la priorité lorsqu'elles débouchent sur celles-ci ( ATF 112 IV 88 consid. 2; 107 IV 47 consid. 3b; plus récemment ATF 123 IV 218 consid. 3a et 117 IV 498 consid. 4a). Par ailleurs, lorsqu'une configuration est équivoque, il s'impose de placer une signalisation claire, surtout lorsqu'elle a déjà donné lieu à des accidents répétés. Il en va de même lorsqu'une inégalité de trafic entre deux voies, sans conduire à admettre une exception aux art. 1er al. 8 2 e phrase OCR et 15 al. 3 OCR, rend intolérable la priorité de la route latérale (cf. ATF 90 IV 86 consid. 2c in fine). b) En l'occurrence, le Tribunal cantonal a qualifié la route communale de route de transit au sens de la jurisprudence, au motif qu'elle relie notamment deux villages. On peut se demander si cette appréciation est justifiée, dès lors qu'il n'est pas certain qu'une telle route soit fréquentée au point de présenter, au moins par moment, un fort trafic. La question peut toutefois rester indécise, car la jonction litigieuse constitue de toute façon une intersection. Encore faut-il en effet, pour qu'une route de transit ne forme pas une intersection avec une route qui la croise, que celle-ci soit "une voie latérale ou étroite qui n'est manifestement pas destinée au transit et qui n'a pratiquement pas ou peu d'importance pour le trafic" (cf. consid. 2a/bb ci-dessus). Une simple inégalité de fréquentation ne suffit pas (cf. ATF 106 IV 56 consid. 2; 92 IV 26 consid. 2; 90 IV 86 consid. 2). Dans une affaire similaire au cas d'espèce ( ATF 96 IV 35 ), le Tribunal fédéral a estimé qu'une impasse large de 4 m. 90, longue de 100 à 150 m. et desservant une dizaine ou une douzaine de villas n'était pas assimilable à un chemin de campagne ou à une sortie de cour et formait une intersection avec une avenue large de 5 m. 30, à grand trafic mais non de transit. En outre, toujours selon cet arrêt, la situation ne serait pas différente si l'on qualifiait cette avenue d'artère de transit, dès lors que rien dans l'aspect de l'impasse ne révélait au conducteur étranger aux lieux qu'elle n'aurait pas d'importance pratique pour le trafic. Il n'y a pas lieu d'apprécier différemment la présente situation. Avant de terminer en impasse, la route de quartier dessert onze villas. De plus, selon les faits retenus par l'autorité intimée, l'aspect de la jonction n'indique nullement au conducteur circulant sur la route communale que la route y débouchant n'aurait pas d'importance pratique pour le trafic, dès lors qu'elle est également goudronnée et à peu près de même largeur que la route communale. Peu importe également que des miroirs aient été posés car, d'un côté, ceux-ci ne signifient pas que la visibilité est mauvaise au point d'empêcher une application ordinaire des règles de la priorité, puisqu'ils ont précisément pour but de pal-lier ce défaut, et, d'un autre côté, même un conducteur prioritaire à une intersection nécessite une vue dégagée de la route sur laquelle il s'apprête à s'engager. Il doit en effet vérifier, à gauche, au moins par un rapide coup d'oeil, que la route est libre et, à droite, qu'aucun véhicule ayant priorité sur lui ne s'approche ( ATF 105 IV 52 consid. 2; 96 IV 35 consid. 3; 90 IV 86 consid. 2b; Bussy/Rusconi, op. cit. , n. 3.6 ad art. 36 p. 394 s.; Schaffhauser, op. cit. , nos 697 ss; Bussy, Priorité aux intersections, FJS 9, 1969, nos 11 ss). Vraisemblablement du reste, les miroirs en cause en l'espèce permettent, réciproquement, aux conducteurs circulant sur la route communale de contrôler si un véhicule s'apprête à sortir de la route de quartier. Enfin, pour les mêmes motifs, il n'est pas déterminant que la recourante ait ralenti - ou se soit arrêtée (Bussy/Rusconi, op. cit. , n. 3.6.5 ad art. 36 p. 396 s.). Dans ces conditions, la route des Esserts n'est pas "une voie latérale ou étroite qui n'est manifestement pas destinée au transit et qui n'a pratiquement pas ou peu d'importance pour le trafic. " Sa jonction avec la route communale constitue dès lors une intersection, que celle-ci soit ou non une route de transit. La recourante bénéficiait donc de la priorité, de sorte que l'arrêt attaqué doit être annulé sur ce point. c) Encore faut-il toutefois vérifier si la recourante n'a pas néanmoins contrevenu aux règles de la circulation. Il convient en particulier d'examiner si elle a satisfait à ses obligations de conductrice prioritaire en accordant toute l'attention nécessaire au côté gauche de la route communale, d'où venait l'intimée, et si, comme elle le soutient, les circonstances la légitimaient à "prendre le virage à la corde". L'autorité intimée n'a pas répondu à ces questions de manière suffisante au regard de la nouvelle situation de droit et il n'appartient pas au Tribunal fédéral de les traiter en première ligne, de sorte qu'il convient de lui renvoyer la cause à cet égard. De même, pour autant que la procédure cantonale le permette, le Tribunal cantonal devra examiner si la collision peut être imputée à une faute de la conductrice intimée (cf. ATF 101 IV 414 consid. 3).</w:t>
      </w:r>
    </w:p>
    <w:p>
      <w:r>
        <w:rPr>
          <w:b/>
        </w:rPr>
        <w:t>E. 3</w:t>
      </w:r>
    </w:p>
    <w:p>
      <w:r>
        <w:t>Vu ce qui précède, le pourvoi en nullité doit être admis, l'arrêt attaqué annulé dans le sens des considérants et la cause renvoyée à l'autorité cantonale pour nouvelle décision. La recourante obtenant gain de cause pour l'essentiel, la Caisse du Tribunal fédéral lui versera (à son mandataire) une indemnité à titre de dépens ( art. 278 al. 3 PPF ). En revanche, il n'y a pas lieu d'allouer des dépens à N.________ (à son mandataire), dès lors qu'il a succombé dans ses conclusions tendant au rejet du recours. Toutefois, celles-ci n'étant pas dénuées de chances de succès, il ne convient pas davantage de mettre à sa charge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