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6S.747/2000 vom 11. März 2002</w:t>
      </w:r>
    </w:p>
    <w:p>
      <w:r>
        <w:t>Bundesgericht, 2002-03-11, DE</w:t>
      </w:r>
    </w:p>
    <w:p>
      <w:r>
        <w:rPr>
          <w:b/>
        </w:rPr>
        <w:t xml:space="preserve">Quelle: </w:t>
      </w:r>
      <w:r>
        <w:t>https://mcp.opencaselaw.ch/entscheid/bger_6S.747_2000</w:t>
      </w:r>
    </w:p>
    <w:p>
      <w:r>
        <w:t>FR: TF 6S.747/2000 du 11 mars 2002</w:t>
      </w:r>
    </w:p>
    <w:p>
      <w:r>
        <w:t>IT: TF 6S.747/2000 del 11 marzo 2002</w:t>
      </w:r>
    </w:p>
    <w:p>
      <w:pPr>
        <w:pStyle w:val="Heading2"/>
      </w:pPr>
      <w:r>
        <w:t>Erwägungen</w:t>
      </w:r>
    </w:p>
    <w:p>
      <w:r>
        <w:rPr>
          <w:b/>
        </w:rPr>
        <w:t>E. 1</w:t>
      </w:r>
    </w:p>
    <w:p>
      <w:r>
        <w:t>Der Beschwerdeführer macht eine Verletzung von Art. 69 StGB geltend. Er bringt vor, die Vorinstanz hätte die im früheren Verfahren erstandene Untersuchungshaft auf die Zusatzstrafe anrechnen müssen. Der Grundsatz der Identität der Tat stehe dem nicht entgegen, da Art. 68 Ziff. 2 StGB i.V.m. Art. 69 StGB gesetzliche Grundlage der Anrechnung bildeten und insoweit der Grundsatz der Verfahrensidentität massgebend sei. Auch die Rechtskraft des früheren Urteils stehe einer Anrechnung nicht im Wege, da sich der Strafbefehl dazu ausschweige. Gegenstand der Rechtskraft könne nur sein, was im Urteilsdispositiv festgelegt sei. Hinzu komme, dass sich der Beschwerdeführer im Zeitpunkt des Erlasses des Strafbefehls bereits im neuen Verfahren in Untersuchungshaft befunden habe, so dass eine Zusatzstrafe habe erwartet werden können (Beschwerde, S. 6).</w:t>
      </w:r>
    </w:p>
    <w:p>
      <w:r>
        <w:t>a) Hat der Richter gemäss Art. 68 Ziff. 2 StGB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Unter dem Gesichtspunkt des Art. 68 Ziff. 2 StGB hat der Richter die Strafe so zu bestimmen, wie wenn er die mehreren strafbaren Handlungen gleichzeitig beurteilen würde: Der Täter soll durch die Aufteilung der Strafverfolgung in mehrere Verfahren weder benachteiligt noch besser gestellt werden ( BGE 120 Ib 54 E. 2a, 109 IV 68 E. 1 zu Art. 41 Ziff. 1 StGB ). Bei der Bemessung der gedanklich zu bestimmenden Gesamtstrafe und damit auch der Zusatzstrafe ist der Richter sowohl in Bezug auf die Strafart als auch hinsichtlich der Art des Vollzugs nicht an den rechtskräftigen ersten Entscheid gebunden (vgl. BGE 116 IV 14 E. 2a und b; 109 IV 90 E. 2d S. 93, mit Hinweisen; Trechsel, Kurzkommentar, 2. Aufl.</w:t>
      </w:r>
    </w:p>
    <w:p>
      <w:r>
        <w:t>1997, Art. 68 StGB N 18, 25, 29).</w:t>
      </w:r>
    </w:p>
    <w:p>
      <w:r>
        <w:t>Der Beschwerdeführer beging die Taten vor dem Erlass und der Rechtskraft des Strafbefehls der Bezirksanwaltschaft Zürich vom 24. April 1998, weshalb die Vorinstanz zu Recht eine Zusatzstrafe zu diesem Urteil ausfällte.</w:t>
      </w:r>
    </w:p>
    <w:p>
      <w:r>
        <w:t>b) Die Vorinstanz hat sich nicht zur Frage der Anrechnung der im ersten Verfahren erstandenen Untersuchungshaft an die Zusatzstrafe geäussert.</w:t>
      </w:r>
    </w:p>
    <w:p>
      <w:r>
        <w:t>aa) Gemäss Art. 69 StGB rechnet der Richter dem Verurteilten die Untersuchungshaft auf die Freiheitsstrafe an, soweit der Täter die Untersuchungshaft nicht durch sein Verhalten nach der Tat herbeigeführt oder verlängert hat. Die Nichtanrechnung ist nur in eng begrenzten Ausnahmefällen zulässig. Die Untersuchungshaft ist anzurechnen, soweit sie der Beschuldigte nicht durch sein Verhalten nach der Tat in der Absicht herbeigeführt oder verlängert hat, dadurch den Strafvollzug zu verkürzen oder zu umgehen ( BGE 117 IV 404 mit Hinweisen). Als Untersuchungshaft gilt jede in einem Strafverfahren verhängte Haft, Untersuchungs- und Sicherheitshaft ( Art. 110 Ziff. 7 StGB ).</w:t>
      </w:r>
    </w:p>
    <w:p>
      <w:r>
        <w:t>Der Anrechnung der Untersuchungshaft im ersten Verfahren auf die Freiheitsstrafe im zweiten Verfahren steht der Grundsatz der Identität der Tat ( BGE 104 IV 6 E. 2) grundsätzlich nicht entgegen, weil Art. 68 Ziff. 2 i.V.m. Art. 69 StGB gesetzliche Grundlage der Anrechnung bildet und insoweit der Grundsatz der Verfahrensidentität massgebend ist (vgl. Trechsel, a.a.O., Art. 69 N 15 ; grundlegend Martin Schubarth, Anrechnung von Untersuchungshaft auf eine ausgesprochene Strafe oder Entschädigung für ungerechtfertigte Untersuchungshaft?, ZStrR 116/1998 S. 112 f.).</w:t>
      </w:r>
    </w:p>
    <w:p>
      <w:r>
        <w:t>bb) Im hier zu beurteilenden Fall hat die Bezirksanwaltschaft offensichtlich vergessen, im Strafbefehl vom 24. April 1998 auch über die Anrechnung der vom 2. August bis 20. September 1996 erstandenen Untersuchungshaft zu befinden. Am 8. Juli 1997 wurde der Beschwerdeführer wegen anderer, zeitlich vor den mit Strafbefehl beurteilten Taten begangener Delikte in Untersuchungshaft gesetzt. Der Strafbefehl wurde dem Beschwerdeführer im Verlauf dieser neuen Haft eröffnet. In einer solchen Situation verletzt es Bundesrecht und den Grundsatz der Verfahrensidentität, wenn die im ersten Verfahren erstandene Untersuchungshaft, für die der Betroffene nicht entschädigt wurde, weder auf die Zusatzstrafe angerechnet noch bei der eigentlichen Strafzumessung strafmindernd berücksichtigt wird.</w:t>
      </w:r>
    </w:p>
    <w:p>
      <w:r>
        <w:rPr>
          <w:b/>
        </w:rPr>
        <w:t>E. 2</w:t>
      </w:r>
    </w:p>
    <w:p>
      <w:r>
        <w:t>Die Beschwerde ist deshalb gutzuheissen. Bei diesem Ausgang des Verfahrens werden keine Kosten erhoben und wird dem Beschwerdeführer eine angemessene Entschädigung aus der Bundesgerichtskasse ausgerichtet.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