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6S.73/2006 vom 5. Februar 2007</w:t>
      </w:r>
    </w:p>
    <w:p>
      <w:r>
        <w:t>Bundesgericht, 2007-02-05, DE</w:t>
      </w:r>
    </w:p>
    <w:p>
      <w:r>
        <w:rPr>
          <w:b/>
        </w:rPr>
        <w:t xml:space="preserve">Quelle: </w:t>
      </w:r>
      <w:r>
        <w:t>https://mcp.opencaselaw.ch/entscheid/bger_6S.73_2006</w:t>
      </w:r>
    </w:p>
    <w:p>
      <w:r>
        <w:t>FR: TF 6S.73/2006 du 5 février 2007</w:t>
      </w:r>
    </w:p>
    <w:p>
      <w:r>
        <w:t>IT: TF 6S.73/2006 del 5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w:t>
      </w:r>
    </w:p>
    <w:p>
      <w:r>
        <w:t>Der Beschwerdeführer macht geltend, die Vorinstanz habe es unterlassen, gestützt auf Art. 13 StGB ein psychiatrisches Gutachten zur Frage der Zurechnungsfähigkeit einzuholen. Das über den Beschwerdeführer erstellte Gutachten habe lediglich die Thematik der Arbeitserziehungsanstalt im Sinne von Art. 100bis StGB zum Gegenstand gehabt, nicht aber jene von Art. 11 StGB .</w:t>
      </w:r>
    </w:p>
    <w:p>
      <w:r>
        <w:rPr>
          <w:b/>
        </w:rPr>
        <w:t>E. 2.1</w:t>
      </w:r>
    </w:p>
    <w:p>
      <w:r>
        <w:t>Die Frage der verminderten Zurechnungsfähigkeit war im vorinstanzlichen Verfahren noch kein Thema. Das Obergericht befasst sich in seinem Urteil lediglich mit der Frage, ob die Voraussetzungen der Einweisung in eine Arbeitserziehungsanstalt ( Art. 100bis StGB ) erfüllt sind, was in Übereinstimmung mit dem zu diesem Zweck eingeholten psychiatrischen Gutachten verneint wird. Dass erstmals in der Nichtigkeitsbeschwerde eine Begutachtung beantragt wird, hindert das Bundesgericht allerdings nicht, auf die Beschwerde einzutreten. Vorausgesetzt ist, dass sich die Rüge auf Tatsachen stützen kann, die im kantonalen Verfahren festgestellt wurden ( BGE 102 IV 74 E. 1a).</w:t>
      </w:r>
    </w:p>
    <w:p>
      <w:r>
        <w:rPr>
          <w:b/>
        </w:rPr>
        <w:t>E. 2.2</w:t>
      </w:r>
    </w:p>
    <w:p>
      <w:r>
        <w:t>Nach Art. 13 Abs. 1 StGB ordnet die urteilende Behörde eine Untersuchung des Beschuldigten an, wenn sie Zweifel an dessen Zurechnungsfähigkeit hat. Der Richter soll also seine Zweifel nicht selber beseitigen, etwa durch Zuhilfenahme psychiatrischer Fachliteratur, sondern, wie sich aus Absatz 2 von Artikel 13 StGB ergibt, durch Beizug von Sachverständigen. Artikel 13 StGB gilt nicht nur, wenn der Richter tatsächlich Zweifel an der Zurechnungsfähigkeit hegt, sondern auch, wenn er nach den Umständen des Falles Zweifel haben sollte ( BGE 106 IV 241 E. 1a mit Hinweisen).</w:t>
      </w:r>
    </w:p>
    <w:p>
      <w:r>
        <w:t>Es fragt sich, welche Umstände gegeben sein müssen, um anzunehmen, der Richter müsse im oben dargelegten Sinn ernsthafte Zweifel haben. Das Bundesgericht hat dies beispielsweise angenommen bei Drogenabhängigkeit, bei einer Frau, die mit ihrer schizophrenen Tochter zusammenlebte, bei einem Sexualdelinquenten mit möglicherweise abnorm starkem Geschlechtstrieb, nicht aber bei Angetrunkenheit. Dabei genügt es, wenn ernsthafter Anlass zu Zweifeln an der Zurechnungsfähigkeit aufgrund eines solchen Umstandes bestand. In der Literatur wird der Beizug eines Sachverständigen erst gefordert, wenn unter anderem Anzeichen vorliegen, die geeignet sind, Zweifel hinsichtlich der vollen Schuldfähigkeit zu erwecken, wie etwa ein Widerspruch zwischen Tat und Täterpersönlichkeit oder völlig unübliches Verhalten; ein Sachverständiger ist ferner beizuziehen, wenn ein Angeklagter in einem früheren Verfahren für vermindert schuldfähig erklärt wurde, wenn er in ärztlicher Behandlung stand oder steht, wenn die Schuldfähigkeit eines Epileptikers, eines geistig Zurückgebliebenen, eines Schwachsinnigen oder eines Hirngeschädigten zu beurteilen ist oder wenn in seiner bisherigen Lebensführung oder bei der seiner Angehörigen besondere Auffälligkeiten, etwa mehrere Selbstmordversuche, aufgetreten sind ( BGE 116 IV 273 E. 4a mit Hinweisen).</w:t>
      </w:r>
    </w:p>
    <w:p>
      <w:r>
        <w:rPr>
          <w:b/>
        </w:rPr>
        <w:t>E. 2.3</w:t>
      </w:r>
    </w:p>
    <w:p>
      <w:r>
        <w:t>Der Beschwerdeführer bringt nichts vor, was im Lichte dieser Rechtsprechung Anlass geboten hätte, an seiner Zurechnungsfähigkeit zu zweifeln. Aus dem Sachverhalt, wie er dem angefochtenen Urteil zu entnehmen ist, ergeben sich keine Anhaltspunkte, die dazu führen müssten, den Geisteszustand des Beschwerdeführers durch eine psychiatrische Fachperson abklären zu lassen. Weder ist ein Widerspruch zwischen Tat und Täterpersönlichkeit erkennbar noch kann gesagt werden, die Tat erscheine mit der bisherigen Lebensführung unvereinbar.</w:t>
      </w:r>
    </w:p>
    <w:p>
      <w:r>
        <w:rPr>
          <w:b/>
        </w:rPr>
        <w:t>E. 2.4</w:t>
      </w:r>
    </w:p>
    <w:p>
      <w:r>
        <w:t>Der Beschwerdeführer macht geltend, bei einem Mittäter, der eine ähnliche Lebensgeschichte wie er aufweise, sei eine verminderte Zurechnungsfähigkeit angenommen worden.</w:t>
      </w:r>
    </w:p>
    <w:p>
      <w:r>
        <w:t>Daraus lässt sich nichts herleiten. Entscheidend sind nämlich die konkreten Verhältnisse des Betroffenen, aus denen sich Zweifel ergeben müssten. Festzuhalten bleibt immerhin, dass der psychiatrische Gutachter beim erwähnten Mittäter von einer vollen Zurechnungsfähigkeit bei der Tatbegehung ausging, so dass auch von daher ein Vergleich unbehelflich ist. Dass der Gutachter zugleich erwähnte, es könne allenfalls aufgrund der gestörten Persönlichkeitsentwicklung, der Anpassungsstörung und der subkulturellen Einbindung des Mittäters trotzdem eine leicht verminderte Zurechnungsfähigkeit angenommen werden, lässt sich nicht auf den Beschwerdeführer übertragen. Dieser verweist zwar auf angeblich gleich gelagerte Probleme der Anpassung und der Einbindung (wobei er den vorinstanzlich festgestellten Sachverhalt zum Teil in unzulässiger Weise ergänzt). Dass überdies auch die Entwicklung seiner Persönlichkeit gestört wäre, macht er jedoch zu Recht nicht geltend. Denn das im Hinblick auf eine allfällige Arbeitserziehung erstellte psychiatrische Gutachten kommt zum Schluss, dass beim Beschwerdeführer weder aufgrund der Akten noch der Vorgeschichte oder der Untersuchungsbefunde eine psychische Störung zu erkennen sei; namentlich liege keine Persönlichkeitsstörung, also keine schwere Störung der charakterlichen Konstitution und des Verhaltens vor, wenngleich sich in seiner Jugend einige diesbezügliche Merkmale finden liessen. Es bestehe derzeit keine Gefährdung der charakterlichen Entwicklung.</w:t>
      </w:r>
    </w:p>
    <w:p>
      <w:r>
        <w:t>Dass die Vorinstanz angesichts der unterschiedlichen Ausgangslage nicht zu gleichen Schlussfolgerungen gelangt, ist deshalb nicht zu beanstanden.</w:t>
      </w:r>
    </w:p>
    <w:p>
      <w:r>
        <w:rPr>
          <w:b/>
        </w:rPr>
        <w:t>E. 2.5</w:t>
      </w:r>
    </w:p>
    <w:p>
      <w:r>
        <w:t>Somit musste die Vorinstanz keine Zweifel über die Zurechnungsfähigkeit des Beschwerdeführers haben, weshalb sie keine weiteren Abklärungen zu treffen hatte. Die Rügen der Bundesrechtsverletzung sind unbegründet.</w:t>
      </w:r>
    </w:p>
    <w:p>
      <w:r>
        <w:rPr>
          <w:b/>
        </w:rPr>
        <w:t>E. 3</w:t>
      </w:r>
    </w:p>
    <w:p>
      <w:r>
        <w:t>Die Vorinstanz hält in ihrem Urteil fest, dass bei den Angeklagten, die nicht begutachtet wurden, ähnliche Umstände bei der Gewichtung der persönlichen Verhältnisse wie beim erwähnten Mittäter zu berücksichtigen seien und sich weitere Abklärungen, ob auch bei ihnen eine Beeinträchtigung der Schuldfähigkeit bestanden habe, erübrigen würden. Dem Beschwerdeführer sei deshalb der nicht reibungslose Verlauf seiner Jugend und die Entwurzelungsproblematik aufgrund der Immigration aus der Türkei in seiner Kindheit strafmindernd zugutezuhalten.</w:t>
      </w:r>
    </w:p>
    <w:p>
      <w:r>
        <w:rPr>
          <w:b/>
        </w:rPr>
        <w:t>E. 3.1</w:t>
      </w:r>
    </w:p>
    <w:p>
      <w:r>
        <w:t>Der Beschwerdeführer rügt in diesem Zusammenhang, dass die Angeklagten ungleich behandelt würden. Indem die Vorinstanz einem der Mitangeklagten im Unterschied zum Beschwerdeführer eine Strafmilderung und damit eine um ein Jahr tiefere Untergrenze des Strafrahmens zubillige, verletze sie den bundesrechtlichen Grundsatz der Gleichbehandlung der Straftäter und damit letztlich die Strafzumessungskriterien von Art. 63 ff. StGB .</w:t>
      </w:r>
    </w:p>
    <w:p>
      <w:r>
        <w:t>-:-</w:t>
      </w:r>
    </w:p>
    <w:p>
      <w:r>
        <w:rPr>
          <w:b/>
        </w:rPr>
        <w:t>E. 3.2</w:t>
      </w:r>
    </w:p>
    <w:p>
      <w:r>
        <w:t>Der Beschwerdeführer übersieht, dass die Vorinstanz beim Mittäter eine Verminderung der Zurechnungsfähigkeit im Sinne von Art. 11 StGB zu berücksichtigen hatte, was beim Beschwerdeführer nicht der Fall ist. Dazu kommt, dass das Vorliegen eines Strafmilderungsgrundes den ordentlichen Strafrahmen nicht automatisch erweitert. Gemäss der gesetzlichen Ausgestaltung kann dieser Rahmen unterschritten werden, sofern es die Umstände des konkreten Falles erfordern, namentlich um einem erheblich reduzierten Verschulden Rechnung zu tragen. Beim Beschwerdeführer hat die Vorinstanz das Verschulden als "nicht mehr ganz leicht" eingestuft und dementsprechend die Strafe am untersten Rand des ordentlichen Strafrahmens angesiedelt, was - auch im Vergleich mit dem erwähnten Mittäter, der mit 5 Jahren Zuchthaus bestraft wurde - nicht zu beanstanden ist.</w:t>
      </w:r>
    </w:p>
    <w:p>
      <w:r>
        <w:rPr>
          <w:b/>
        </w:rPr>
        <w:t>E. 4</w:t>
      </w:r>
    </w:p>
    <w:p>
      <w:r>
        <w:t>Die eidgenössische Nichtigkeitsbeschwerde ist deshalb abzuweisen. Bei diesem Ausgang des Verfahrens trägt der Beschwerdeführer die bundesgerichtlichen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