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6S.729/2001 vom 7. November 2001</w:t>
      </w:r>
    </w:p>
    <w:p>
      <w:r>
        <w:t>Bundesgericht, 2001-11-07, FR</w:t>
      </w:r>
    </w:p>
    <w:p>
      <w:r>
        <w:rPr>
          <w:b/>
        </w:rPr>
        <w:t xml:space="preserve">Quelle: </w:t>
      </w:r>
      <w:r>
        <w:t>https://mcp.opencaselaw.ch/entscheid/bger_6S.729_2001</w:t>
      </w:r>
    </w:p>
    <w:p>
      <w:r>
        <w:t>FR: TF 6S.729/2001 du 7 novembre 2001</w:t>
      </w:r>
    </w:p>
    <w:p>
      <w:r>
        <w:t>IT: TF 6S.729/2001 del 7 novembre 2001</w:t>
      </w:r>
    </w:p>
    <w:p>
      <w:pPr>
        <w:pStyle w:val="Heading2"/>
      </w:pPr>
      <w:r>
        <w:t>Regeste</w:t>
      </w:r>
    </w:p>
    <w:p>
      <w:r>
        <w:t>Infractions</w:t>
      </w:r>
    </w:p>
    <w:p>
      <w:pPr>
        <w:pStyle w:val="Heading2"/>
      </w:pPr>
      <w:r>
        <w:t>Erwägungen</w:t>
      </w:r>
    </w:p>
    <w:p>
      <w:r>
        <w:rPr>
          <w:b/>
        </w:rPr>
        <w:t>E. 1</w:t>
      </w:r>
    </w:p>
    <w:p>
      <w:r>
        <w:t>Le Tribunal fédéral examine d'office et librement la recevabilité des recours qui lui sont soumis ( ATF 126 IV 107 consid. 1 p. 109). a) En vertu de l' art. 270 let . e ch. 1 PPF, entré en vigueur le 1er janvier 2001, seul le lésé qui est une victime d'une infraction au sens de l' art. 2 LAVI peut exercer un pourvoi en nullité pour autant qu'il soit déjà partie à la procédure et dans la mesure où la sentence touche ses prétentions civiles ou peut avoir des incidences sur le jugement de celles-ci. Est une victime au sens de l' art. 2 al. 1 LAVI toute personne qui a subi, du fait d'une infraction, une atteinte directe à son intégrité corporelle, sexuelle ou psychique. Le conjoint, les enfants, les père et mère ainsi que d'autres personnes unies à la victime par des liens analogues sont assimilés à celle-ci pour ce qui est des droits dans la procédure dans la mesure où ces personnes peuvent faire valoir des prétentions civiles contre l'auteur de l'infraction ( art. 2 al. 2 let. b LAVI ). La LAVI exige que la victime ait subi, du fait de l'infraction, une atteinte "directe". L'atteinte doit être réalisée. Un simple risque de dommage ne suffit pas. Dans le message, le Conseil fédéral explique ainsi que "les infractions de mise en danger sont exclues du champ d'application de la loi puisque, par définition, elles ne comportent pas une atteinte à un bien juridique" (FF 1990 II 909 ss, 925). Le Tribunal fédéral a jugé, pour sa part, que la personne blessée dans un accident de la circulation était une victime au sens de l' art. 2 LAVI si elle avait subi des lésions corporelles par négligence, imputables aux autres personnes impliquées dans l'accident et non pas si elle n'invoquait qu'une simple violation des règles de la circulation ou une ivresse au volant ( ATF 122 IV 71 consid. 3a p. 77). La doctrine partage unanimement cette manière de voir, précisant toutefois qu'une personne dont la vie a été mise en danger, au sens de l' art. 129 CP , peut souffrir de troubles psychologiques en relation directe avec l'acte du délinquant (Gomm/Stein/Zehnter, Kommentar zum Opferhilfegesetz, Berne 1995, p. 44, n. 12; Corboz, Les droits procéduraux découlant de la LAVI, dans: SJ 118 (1996), p. 53 ss, 58; Thomas Koller, Das Opferhilfegesetz: Auswirkungen auf das Strassenverkehrsrecht, dans: PJA 1996, p. 578 ss, 580 s.; Ulrich Weder, Das Opfer, sein Schutz und seine Rechte im Strafverfahren, unter besonderer Berücksichtigung des Kantons Zürich, dans: RPS 113 (1995), p. 39 ss, 41; Michel Ducrot, La qualité de partie du lésé, en particulier sa qualité pour recourir contre les prononcés rendus sur l'action publique, dans: RVJ 1995 p. 333 ss, 339; Eva Weishaupt, Die verfahrensrechtlichen Bestimmungen des Opferhilfegesetzes (OHG), Zurich 1998, p. 29, 36). Il convient encore de préciser que l'atteinte ne peut résulter d'une infraction commise sur autrui (Corboz, op. cit. , p. 57). b) Pour déterminer si le recourant revêt la qualité de victime avant le jugement, on doit se fonder sur les allégués du lésé et sur la vraisemblance des actes et de l'atteinte ( ATF 126 IV 147 consid. 1 p. 149). Les parents d'un enfant victime d'un homicide ou d'une lésion corporelle grave peuvent invoquer l' art. 2 al. 2 LAVI . En l'espèce, les recourants ne se plaignent cependant pas que le traitement prodigué par le Dr A.________ aurait causé la mort de leur enfant ou même des lésions corporelles. Ils admettent qu'une prévention d'homicide par négligence ou de lésions corporelles n'est pas réalisée, dès lors que les causes du décès n'ont pu être déterminées. Ils soutiennent que le Dr A.________ devrait être inculpé du chef d'exposition au sens de l' art. 127 CP . Cette disposition réprime le fait d'exposer une personne à un danger de mort ou à un danger grave ou imminent pour la santé. Il s'agit d'un délit de mise en danger, qui sanctionne la création d'un danger, indépendamment de toute lésion. Le Dr A.________ aurait seulement mis en danger la vie et la santé de Z.________ en lui prescrivant du Bactrim et en ne faisant pas les analyses nécessaires. On ne peut donc pas parler d'atteinte "directe" à l'intégrité physique au sens de l' art. 2 al. 1 LAVI , et Z.________ ne peut être considéré comme une victime selon la LAVI. Ses parents n'ont en conséquence pas la qualité pour agir en application de l' art. 270 let . e PPF et le pourvoi est donc irrecevable.</w:t>
      </w:r>
    </w:p>
    <w:p>
      <w:r>
        <w:rPr>
          <w:b/>
        </w:rPr>
        <w:t>E. 2</w:t>
      </w:r>
    </w:p>
    <w:p>
      <w:r>
        <w:t>Succombant, les recourants doivent supporter les frais judiciaires ( art. 278 al. 1 PPF ; art. 156 al. 1 OJ ). Il n'y a pas lieu d'allouer d'indemnité à l'intimé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