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6S.66/2007 vom 4. Juli 2007</w:t>
      </w:r>
    </w:p>
    <w:p>
      <w:r>
        <w:t>Bundesgericht, 2007-07-04, IT</w:t>
      </w:r>
    </w:p>
    <w:p>
      <w:r>
        <w:rPr>
          <w:b/>
        </w:rPr>
        <w:t xml:space="preserve">Quelle: </w:t>
      </w:r>
      <w:r>
        <w:t>https://mcp.opencaselaw.ch/entscheid/bger_6S.66_2007</w:t>
      </w:r>
    </w:p>
    <w:p>
      <w:r>
        <w:t>FR: TF 6S.66/2007 du 4 juillet 2007</w:t>
      </w:r>
    </w:p>
    <w:p>
      <w:r>
        <w:t>IT: TF 6S.66/2007 del 4 luglio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La tassa di giustizia di fr. 200.-- è posta a carico del ricorrente.</w:t>
      </w:r>
    </w:p>
    <w:p>
      <w:r>
        <w:rPr>
          <w:b/>
        </w:rPr>
        <w:t>E. 4</w:t>
      </w:r>
    </w:p>
    <w:p>
      <w:r>
        <w:t>Comunicazione al ricorrente, alla Sezione della circolazione del Dipartimento delle istituzioni e al Presidente della Pretura penale del Cantone Ticino.</w:t>
      </w:r>
    </w:p>
    <w:p>
      <w:r>
        <w:t>Losanna, 4 luglio 2007</w:t>
      </w:r>
    </w:p>
    <w:p>
      <w:r>
        <w:t>In nome della Corte di cassazione penale</w:t>
      </w:r>
    </w:p>
    <w:p>
      <w:r>
        <w:t>del Tribunale federale svizzero</w:t>
      </w:r>
    </w:p>
    <w:p>
      <w:r>
        <w:t>Il giudice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