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6S.641/2001 vom 9. Januar 2002</w:t>
      </w:r>
    </w:p>
    <w:p>
      <w:r>
        <w:t>Bundesgericht, 2002-01-09, FR</w:t>
      </w:r>
    </w:p>
    <w:p>
      <w:r>
        <w:rPr>
          <w:b/>
        </w:rPr>
        <w:t xml:space="preserve">Quelle: </w:t>
      </w:r>
      <w:r>
        <w:t>https://mcp.opencaselaw.ch/entscheid/bger_6S.641_2001</w:t>
      </w:r>
    </w:p>
    <w:p>
      <w:r>
        <w:t>FR: TF 6S.641/2001 du 9 janvier 2002</w:t>
      </w:r>
    </w:p>
    <w:p>
      <w:r>
        <w:t>IT: TF 6S.641/2001 del 9 gennaio 2002</w:t>
      </w:r>
    </w:p>
    <w:p>
      <w:pPr>
        <w:pStyle w:val="Heading2"/>
      </w:pPr>
      <w:r>
        <w:t>Erwägungen</w:t>
      </w:r>
    </w:p>
    <w:p>
      <w:r>
        <w:rPr>
          <w:b/>
        </w:rPr>
        <w:t>E. 1</w:t>
      </w:r>
    </w:p>
    <w:p>
      <w:r>
        <w:t>Le pourvoi en nullité ne peut être formé que pour violation du droit fédéral, à l'exclusion de la violation de droits constitutionnels ( art. 269 PPF ).</w:t>
      </w:r>
    </w:p>
    <w:p>
      <w:r>
        <w:t>La Cour de cassation n'est pas liée par les motifs invoqués, mais elle ne peut aller au-delà des conclusions du recourant ( art. 277bis PPF ). Les conclusions devant être interprétées à la lumière de leur motivation ( ATF 127 IV 101 consid. 1 p. 103), le recourant a circonscrit les points litigieux.</w:t>
      </w:r>
    </w:p>
    <w:p>
      <w:r>
        <w:t>Le pourvoi n'est pas ouvert pour se plaindre de l'appréciation des preuves et des constatations de fait qui en découlent ( ATF 124 IV 81 consid. 2a p. 83). Sous réserve de la rectification d'une inadvertance manifeste, la Cour de cassation est liée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 et les arrêts cités).</w:t>
      </w:r>
    </w:p>
    <w:p>
      <w:r>
        <w:t>En l'espèce, le recourant consacre une large partie de son mémoire à un exposé intitulé "En fait". Ce procédé est inutile. A la différence de l' art. 90 al. 1 let. b OJ pour le recours de droit public, l' art. 273 al. 1 let. b PPF n'exige en effet pas d'exposer les faits essentiels. Le Tribunal fédéral est de toute façon lié par les constatations cantonales de sorte que les griefs du recourant à cet égard sont irrecevables.</w:t>
      </w:r>
    </w:p>
    <w:p>
      <w:r>
        <w:rPr>
          <w:b/>
        </w:rPr>
        <w:t>E. 2</w:t>
      </w:r>
    </w:p>
    <w:p>
      <w:r>
        <w:t>La Chambre pénale a retenu que le comportement du recourant tombait sous le coup de l'une des situations visées à l' art. 19 ch. 1 LStup et que le cas pouvait être qualifié de grave en application de l' art. 19 ch. 2 let. b LStup . Le recourant conteste le cas grave.</w:t>
      </w:r>
    </w:p>
    <w:p>
      <w:r>
        <w:t>Selon l' art. 19 ch. 2 let. b LStup , le cas est grave lorsque l'auteur "agit comme affilié à une bande formée pour se livrer au trafic illicite des stupéfiants".</w:t>
      </w:r>
    </w:p>
    <w:p>
      <w:r>
        <w:t>L'affiliation à une bande est réalisée lorsque deux ou plusieurs auteurs manifestent expressément ou par actes concluants la volonté de s'associer en vue de commettre ensemble plusieurs infractions indépendantes, même si elles ne sont pas encore déterminées. L'association a pour caractéristique de renforcer physiquement et psychiquement chacun des membres, les rend par conséquent plus dangereux et laisse prévoir la commission d'autres infractions de ce type ( ATF 124 IV 286 consid. 2a p. 293/294, 86 consid. 2b p. 88/89).</w:t>
      </w:r>
    </w:p>
    <w:p>
      <w:r>
        <w:t>Le recourant prétend qu'il n'a pas participé à une bande eu égard au rôle qu'il a tenu. Selon les constatations cantonales, le recourant savait et a accepté que Y.________ blanchisse les fonds provenant de la vente du haschich pour ensuite les transporter en Europe et notamment les lui livrer; le recourant s'occupait de l'encaissement auprès de Y.________ des fonds provenant de la revente de la drogue et destinés à W.________, parmi lesquels figuraient les 500'000 NLG livrés à Genève (cf. arrêt attaqué, p. 48 et 55). Le recourant occupait donc une place bien définie dans le réseau des trafiquants. La collaboration mise en place évoque une équipe soudée et stable. Le rôle du recourant n'est pas de nature à exclure son affiliation à la bande.</w:t>
      </w:r>
    </w:p>
    <w:p>
      <w:r>
        <w:t>Le recourant conteste par ailleurs son affiliation à une bande, faute d'une pluralité d'infractions. Il relève que le paiement d'une vente unique (six tonnes de haschich) au moyen d'acomptes échelonnés dans le temps ne constitue pas une pluralité d'infractions indépendantes mais une succession d'actes relevant d'une seule infraction.</w:t>
      </w:r>
    </w:p>
    <w:p>
      <w:r>
        <w:t>La Chambre pénale a retenu que le recourant et Y.________ avaient non seulement pris des dispositions en vue de l'échange des 500'000 NLG le 30 août 1995 à Genève mais également "en prévision d'opérations futures", notant à cet égard que le recourant avait loué un coffre, dont Y.________ disposait également d'une clé, de façon à pouvoir procéder aux livraisons d'argent en toute discrétion (cf. arrêt attaqué, p. 55). La Chambre pénale s'est ainsi référée aux déclarations de Y.________, dont il ressort qu'il possédait également une clé pour le coffre loué par le recourant, ce "en prévision d'opérations futures", de façon à pouvoir "utiliser le coffre pour y déposer de l'argent à l'attention [du recourant]" (arrêt attaqué, p. 38).</w:t>
      </w:r>
    </w:p>
    <w:p>
      <w:r>
        <w:t>Il est donc établi en fait, ce qui lie le Tribunal fédéral ( art. 277bis al. 1 PPF ), que dans le cadre du trafic mené, le recourant et Y.________ ont envisagé de commettre d'autres transferts d'argent à Genève. Le recourant soutient que ces transactions sont la conséquence logique de la vente initiale des six tonnes de haschich et qu'il n'existe ainsi qu'une seule infraction. Cet argument tombe à faux. La vente a permis de constituer un stock de drogue et a ensuite impliqué de nombreux actes distincts, soit le transfert de la drogue, sa revente progressive, le blanchiment de l'argent ainsi obtenu et, au fur et à mesure de ces opérations, le paiement du prix de vente. Ces différents actes espacés dans le temps représentent chacun une infraction. Or, si l'affiliation à une bande est particulièrement à craindre, c'est qu'elle encourage chaque participant à commettre de nouvelles infractions ( ATF 100 IV 219 consid. 2 p. 222). Ainsi, le fait qu'un trafic de stupéfiants soit initié par une importante vente n'exclut pas d'appréhender les différents actes répréhensibles subséquents sous la circonstance aggravante de la bande, en particulier lorsque lesdits actes sont espacés dans le temps. Car ils ont alors pour conséquence d'installer durablement les associés dans la délinquance. En l'espèce, dans la mesure où le recourant et Y.________ ont prévu d'autres transactions financières liées au trafic de haschich, l'application de l' art. 19 ch. 2 let. b LStup ne viole pas le droit fédéral.</w:t>
      </w:r>
    </w:p>
    <w:p>
      <w:r>
        <w:rPr>
          <w:b/>
        </w:rPr>
        <w:t>E. 3</w:t>
      </w:r>
    </w:p>
    <w:p>
      <w:r>
        <w:t>Le recourant dénonce une violation de l' art. 63 CP .</w:t>
      </w:r>
    </w:p>
    <w:p>
      <w:r>
        <w:t>a) Aux termes de l'article 63 CP,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w:t>
      </w:r>
    </w:p>
    <w:p>
      <w:r>
        <w:t>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même s'il est vrai que le Tribunal fédéral examine librement s'il y a eu violation du droit fédéral, il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p. 104).</w:t>
      </w:r>
    </w:p>
    <w:p>
      <w:r>
        <w:t>Cela étant,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127 IV 101 consid. 2c p. 104/105).</w:t>
      </w:r>
    </w:p>
    <w:p>
      <w:r>
        <w:t>b) Le recourant prétend que ses condamnations de 1970 et 1981 sont trop anciennes pour avoir une influence sur la présente peine. Selon les constatations cantonales, la condamnation à quatre ans de prison prononcée au Canada en 1981 pour trafic de haschich n'a été exécutée, du moins en partie, que sept ans après. Les faits d'espèce remontant à 1995, l'exécution de la peine de quatre ans précitée à propos d'une infraction de même nature pouvait, sans violation du droit fédéral, être considérée comme révélatrice d'une absence de volonté de s'amender.</w:t>
      </w:r>
    </w:p>
    <w:p>
      <w:r>
        <w:t>c) Selon le recourant, la Chambre pénale n'a pas suffisamment tenu compte de ses aveux. Il est vrai que des aveux peuvent refléter une prise de conscience et un repentir, dont il y a lieu de tenir compte pour fixer la peine ( ATF 121 IV 202 consid. 2d/cc p. 205/206). La Chambre pénale a relevé qu'après ses aveux initiaux, le recourant avait montré qu'il était irrité, qu'il n'entendait plus collaborer avec les autorités et qu'il n'avait à aucun moment manifesté sa volonté de s'amender ni n'avait exprimé de regrets. Dans ces conditions, il n'était pas nécessaire d'accorder un poids particulier aux aveux pour fixer la peine.</w:t>
      </w:r>
    </w:p>
    <w:p>
      <w:r>
        <w:t>d) Signalant que la Chambre pénale a abandonné plusieurs faits pour lesquels le Tribunal de police l'avait reconnu coupable, le recourant soutient qu'elle aurait ainsi dû réduire la peine prononcée en première instance. Selon lui, sa faute ne pouvait pas être appréciée en fonction des actes commis à l'étranger de 1994 à 1996, pour lesquels la Chambre pénale a expressément exclu l'application de l' art. 19 ch. 4 LStup et s'est donc déclarée incompétente à leur égard. La Chambre pénale ne pouvait pas prendre en compte pour fixer la peine le fait qu'il avait "agi sur une longue durée". Sa culpabilité devait être appréciée en fonction de la seule infraction du ressort des autorités suisses, soit l'encaissement de 500'000 NLG à Genève. C'est également à tort que la Chambre pénale a jugé sa faute était sur le même pied que celle de Y.________.</w:t>
      </w:r>
    </w:p>
    <w:p>
      <w:r>
        <w:t>Dans son jugement du 14 mai 2001, le Tribunal de police a retenu à la charge du recourant la totalité des étapes du trafic, ainsi que l'énumérait la feuille d'envoi, les actes en question tombant sous le coup de l'art. 19 ch. 1 al. 3 à 7 LStup (cf. jugement de première instance, p. 5). De son côté, la Chambre pénale s'est déclarée incompétente pour juger le recourant en vertu de l'ensemble desdits actes, retenant d'une part que la plupart de ceux-ci n'avaient aucun rattachement avec la Suisse selon les art. 3 à 7 CP et que, d'autre part, l' art. 19 ch. 4 LStup n'était pas applicable. La Chambre pénale a en conséquence conclu que le seul comportement punissable du recourant en Suisse consistait en la remise à Genève le 30 août 1995 de 500'000 NLG et que cette remise d'une partie du prix de vente du haschich tombait sous le coup de l'art. 19 ch. 1 al. 4 et/ou 5 LStup (cf. arrêt attaqué, p. 47/48). Ce point ne saurait être remis en cause ici en raison de l'interdiction de la reformatio in pejus. Malgré la divergence de sa solution par rapport au Tribunal de police, la Chambre pénale a confirmé la peine infligée en première instance, indiquant simplement qu'elle paraissait justifiée. Ce procédé prête le flanc à la critique.</w:t>
      </w:r>
    </w:p>
    <w:p>
      <w:r>
        <w:t>En effet, lorsqu'à la suite d'un recours, un élément d'appréciation retenu par les premiers juges est écarté, l'autorité ne peut maintenir la peine inchangée sans que cela ne soit justifié par une motivation particulière ( ATF 117 IV 395 consid. 4 p. 397; cf. également ATF 118 IV 18 consid. 1c/bb p. 21). Cette règle s'impose comme la conséquence du lien qui doit exister entre la motivation présentée et la peine infligée; elle tend aussi à ne pas rendre illusoire l'exercice des voies de recours. Sauf justification spéciale, on ne saurait admettre que la peine reste inchangée, quels que soient la qualification juridique des infractions ou les critères retenus dans la fixation de la peine. La Chambre pénale ne pouvait donc pas à la fois retenir qu'elle n'avait pas de compétence juridictionnelle pour la plupart des actes reprochés au recourant pris en compte en première instance et confirmer la peine initialement infligée sans adopter une motivation circonstanciée. L'arrêt attaqué ne renferme qu'une motivation succincte, qui ne remplit clairement pas cette exigence.</w:t>
      </w:r>
    </w:p>
    <w:p>
      <w:r>
        <w:t>Encore peut-on noter que la Chambre pénale a en particulier considéré que le recourant avait agi sur une longue durée et que son rôle dans le trafic n'était pas moins grave que celui de Y.________. Par ce biais, elle a donc repris à la charge du recourant l'intégralité des actes à propos desquels elle s'est précisément déclarée incompétente. Cette contradiction n'est pas admissible.</w:t>
      </w:r>
    </w:p>
    <w:p>
      <w:r>
        <w:t>Le seul fait reproché au recourant qui ressortit à la compétence des autorités genevoises consiste en la remise de 500'000 NLG le 30 août 1995. Il est vrai que le recourant fait partie d'un important réseau de trafiquants où il occupe une fonction définie, que le transfert d'argent précité est intervenu dans le cadre d'un trafic international de grande ampleur et que d'autres transferts de ce type étaient envisagés à Genève. Ces éléments ont déjà été pris en considération pour retenir le cas grave selon l' art. 19 ch. 2 let. b LStup . Dans le cadre ainsi défini, la Chambre pénale devait apprécier la faute du recourant relativement à l'opération financière commise à Genève.</w:t>
      </w:r>
    </w:p>
    <w:p>
      <w:r>
        <w:t>Il résulte de ce qui précède que les éléments d'appréciation pris en compte sont contradictoires et ne respectent pas les exigences jurisprudentielles. La Chambre pénale a violé l' art. 63 CP .</w:t>
      </w:r>
    </w:p>
    <w:p>
      <w:r>
        <w:rPr>
          <w:b/>
        </w:rPr>
        <w:t>E. 4</w:t>
      </w:r>
    </w:p>
    <w:p>
      <w:r>
        <w:t>Le pourvoi doit être admis, l'arrêt attaqué annulé en tant qu'il concerne la fixation de la peine et la cause renvoyée à l'autorité cantonale pour nouvelle décision. Le recourant obtenant partiellement gain de cause, il ne sera pas perçu de frais et une indemnité lui sera allouée à titre de dépens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