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6S.634/2001 vom 11. Juni 2001</w:t>
      </w:r>
    </w:p>
    <w:p>
      <w:r>
        <w:t>Bundesgericht, 2001-06-11, FR</w:t>
      </w:r>
    </w:p>
    <w:p>
      <w:r>
        <w:rPr>
          <w:b/>
        </w:rPr>
        <w:t xml:space="preserve">Quelle: </w:t>
      </w:r>
      <w:r>
        <w:t>https://mcp.opencaselaw.ch/entscheid/bger_6S.634_2001</w:t>
      </w:r>
    </w:p>
    <w:p>
      <w:r>
        <w:t>FR: TF 6S.634/2001 du 11 juin 2001</w:t>
      </w:r>
    </w:p>
    <w:p>
      <w:r>
        <w:t>IT: TF 6S.634/2001 del 11 giugno 2001</w:t>
      </w:r>
    </w:p>
    <w:p>
      <w:pPr>
        <w:pStyle w:val="Heading2"/>
      </w:pPr>
      <w:r>
        <w:t>Erwägungen</w:t>
      </w:r>
    </w:p>
    <w:p>
      <w:r>
        <w:rPr>
          <w:b/>
        </w:rPr>
        <w:t>E. 1</w:t>
      </w:r>
    </w:p>
    <w:p>
      <w:r>
        <w:t>Saisie d'un pourvoi en nullité, la Cour de cassation pénale du Tribunal fédéral contrôle l'application du droit fédéral ( art. 269 PPF ) sur la base d'un état de fait définitivement arrêté par l'autorité cantonale (cf. art. 273 al. 1 let. b et 277bis PPF ). Le raisonnement juridique doit donc se fonder sur les faits retenus dans la décision attaquée, dont le recourant est irrecevable à s'écarter ( ATF 126 IV 65 consid. 1 p. 66/67 et les arrêts cités).</w:t>
      </w:r>
    </w:p>
    <w:p>
      <w:r>
        <w:t>La Cour de cassation n'est pas liée par les motifs invoqués, mais elle ne peut aller au-delà des conclusions du recourant ( art. 277bis PPF ). Les conclusions devant être interprétées à la lumière de leur motivation ( ATF 126 IV 65 consid. 1 p. 66 et les arrêts cités), le recourant a circonscrit les points litigieux.</w:t>
      </w:r>
    </w:p>
    <w:p>
      <w:r>
        <w:rPr>
          <w:b/>
        </w:rPr>
        <w:t>E. 2</w:t>
      </w:r>
    </w:p>
    <w:p>
      <w:r>
        <w:t>Le recourant conteste le sens que la cour cantonale a donné au terme de "pétasse".</w:t>
      </w:r>
    </w:p>
    <w:p>
      <w:r>
        <w:t>Alors que celle-ci rapproche ce terme de celui de "prostituée", il s'agit simplement, pour le recourant, d'un terme péjoratif à l'égard d'une femme, sans connotation sexuelle (sur les sens possibles de ce terme, cf. Le Petit Robert, éd. 1993). Il n'y a pas lieu d'entrer en matière sur la portée exacte de ce mot. En effet, quel que soit le sens retenu, celui-ci constitue une marque de mépris constitutif d'une injure au sens de l'article 177 CP.</w:t>
      </w:r>
    </w:p>
    <w:p>
      <w:r>
        <w:rPr>
          <w:b/>
        </w:rPr>
        <w:t>E. 3</w:t>
      </w:r>
    </w:p>
    <w:p>
      <w:r>
        <w:t>Le recourant reproche à l'autorité cantonale de ne pas avoir fait application de l' art. 177 al. 2 CP , qui prévoit que le juge pourra exempter le délinquant de toute peine si l'injurié a directement provoqué l'injure par une conduite répréhensible.</w:t>
      </w:r>
    </w:p>
    <w:p>
      <w:r>
        <w:t>Selon la jurisprudence, cette disposition s'applique lorsque l'injure consiste en une réaction immédiate à un comportement répréhensible qui a provoqué chez l'auteur un sentiment de révolte. Il peut s'agir d'une provocation ou d'un autre comportement blâmable. Celui-ci ne doit pas nécessairement viser l'auteur de l'injure; une conduite grossière en public peut suffire ( ATF 117 IV 270 consid. 2c p. 273; 83 IV 151 ). La notion d'immédiateté doit être comprise comme une notion de temps dans le sens que l'auteur doit avoir agi sous le coup de l'émotion provoquée par la conduite répréhensible de l'injurié, sans avoir eu le temps de réfléchir tranquillement ( ATF 83 IV 151 ).</w:t>
      </w:r>
    </w:p>
    <w:p>
      <w:r>
        <w:t>L' art. 177 al. 2 CP instaure un motif facultatif d'exemption de peine ( ATF 109 IV 39 consid. 4b in fine p. 43). Le juge a la faculté, mais non l'obligation, d'exempter le recourant de toute peine; il peut également se contenter d'atténuer la peine. Le juge de répression dispose, en ce domaine, d'un large pouvoir d'appréciation et la Cour de cassation n'intervient qu'en cas d'abus.</w:t>
      </w:r>
    </w:p>
    <w:p>
      <w:r>
        <w:t>En l'espèce, la cour cantonale n'a pas méconnu l' art. 177 al. 2 CP . Mais elle a considéré qu'au vu des circonstances, le comportement de la plaignante ne justifiait pas les propos du recourant et a refusé d'exempter ce dernier de toute peine. Elle a toutefois largement tenu compte de la conduite de la plaignante dans le choix et la quotité de la peine, puisqu'elle n'a prononcé qu'une amende de 300 francs. Ce faisant, elle n'a pas abusé de son pouvoir d'appréciation. Le grief du recourant se révèle donc infondé et le pourvoi doit dès lors être rejeté.</w:t>
      </w:r>
    </w:p>
    <w:p>
      <w:r>
        <w:rPr>
          <w:b/>
        </w:rPr>
        <w:t>E. 4</w:t>
      </w:r>
    </w:p>
    <w:p>
      <w:r>
        <w:t>Les frais de la cause sont mis à la charge du recourant qui succombe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