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6S.62/2005 vom 31. Oktober 2005</w:t>
      </w:r>
    </w:p>
    <w:p>
      <w:r>
        <w:t>Bundesgericht, 2005-10-31, DE</w:t>
      </w:r>
    </w:p>
    <w:p>
      <w:r>
        <w:rPr>
          <w:b/>
        </w:rPr>
        <w:t xml:space="preserve">Quelle: </w:t>
      </w:r>
      <w:r>
        <w:t>https://mcp.opencaselaw.ch/entscheid/bger_6S.62_2005</w:t>
      </w:r>
    </w:p>
    <w:p>
      <w:r>
        <w:t>FR: TF 6S.62/2005 du 31 octobre 2005</w:t>
      </w:r>
    </w:p>
    <w:p>
      <w:r>
        <w:t>IT: TF 6S.62/2005 del 31 ottobre 2005</w:t>
      </w:r>
    </w:p>
    <w:p>
      <w:pPr>
        <w:pStyle w:val="Heading2"/>
      </w:pPr>
      <w:r>
        <w:t>Regeste</w:t>
      </w:r>
    </w:p>
    <w:p>
      <w:r>
        <w:t>Verletzung von Verkehrsregeln (Art. 90 Ziff. 1 i.V.m. Art. 35 Abs. 1 SVG) | Straftaten</w:t>
      </w:r>
    </w:p>
    <w:p>
      <w:pPr>
        <w:pStyle w:val="Heading2"/>
      </w:pPr>
      <w:r>
        <w:t>Erwägungen</w:t>
      </w:r>
    </w:p>
    <w:p>
      <w:r>
        <w:rPr>
          <w:b/>
        </w:rPr>
        <w:t>E. 1</w:t>
      </w:r>
    </w:p>
    <w:p>
      <w:r>
        <w:t>Der Beschwerdeführer ist als Angeklagter im Sinne von Art. 270 lit. a BStP zur eidgenössischen Nichtigkeitsbeschwerde legitimiert. Zwar haben die kantonalen Instanzen in Anwendung von Art. 66bis StGB von einer Bestrafung Umgang genommen, da der Beschwerdeführer durch die unmittelbaren Folgen seiner Tat so schwer betroffen worden ist, dass eine Strafe unangemessen wäre. Der Beschwerdeführer ist indessen der einfachen Verkehrsregelverletzung schuldig gesprochen worden und durch diesen Schuldspruch beschwert (siehe nicht publiziertes Urteil des Kassationshofes 6S.388/1993 vom 20. Mai 1994 betreffend Art. 66bis StGB ; BGE 96 IV 64 E. 1; 115 IV 221 E. 1).</w:t>
      </w:r>
    </w:p>
    <w:p>
      <w:r>
        <w:rPr>
          <w:b/>
        </w:rPr>
        <w:t>E. 2</w:t>
      </w:r>
    </w:p>
    <w:p>
      <w:r>
        <w:t>Der Beschwerdeführer macht geltend, dass der von ihm befahrene, mit einer unterbrochenen gelben Linie abgegrenzte Radstreifen entgegen der Ansicht der kantonalen Instanzen als ein Fahrstreifen anzusehen sei, wie sich aus Art. 1 Abs. 7 VRV ergebe. Daher sei er gestützt auf Art. 8 Abs. 3 VRV und gemäss Art. 40 Abs. 3 VRV berechtigt gewesen, mit seinem Motorrad (Motorroller) auf dem Radstreifen rechts am Lieferwagen vorbeizufahren, als dessen Lenker die Geschwindigkeit verlangsamt habe.</w:t>
      </w:r>
    </w:p>
    <w:p>
      <w:r>
        <w:rPr>
          <w:b/>
        </w:rPr>
        <w:t>E. 2.1</w:t>
      </w:r>
    </w:p>
    <w:p>
      <w:r>
        <w:t>Beim Fahren in parallelen Kolonnen sowie innerorts auf Strassen mit mehreren Fahrstreifen in der gleichen Richtung ist das Rechtsvorbeifahren an andern Fahrzeugen gestattet, sofern diese nicht halten, um Fussgängern oder Benützern von fahrzeugähnlichen Geräten den Vortritt zu lassen ( Art. 8 Abs. 3 Satz 1 VRV ). Das Rechtsüberholen durch Ausschwenken und Wiedereinbiegen ist jedoch untersagt ( Art. 8 Abs. 3 Satz 2 VRV ). Das Fahren in parallelen Kolonnen ist bei dichtem Verkehr gestattet, wenn die rechte Fahrbahnhälfte dafür genügend Raum bietet. Mit langsamen Fahrzeugen ist in der äussersten Kolonne rechts zu fahren ( Art. 8 Abs. 2 VRV ). Radstreifen werden zwar in Art. 1 Abs. 7 VRV als "Fahrstreifen" bezeichnet, doch sind sie nach dieser Bestimmung Fahrstreifen besonderer Art, nämlich "für Radfahrer bestimmte Fahrstreifen". Radstreifen sind aber für die übrigen Verkehrsteilnehmer keine Fahrstreifen im Sinne des Strassenverkehrsrechts. Denn Fahrstreifen sind gemäss Art. 1 Absatz 5 VRV markierte Teile der Fahrbahn, die für die Fortbewegung einer Fahrzeugkolonne Raum bieten. Der Fahrstreifen muss mithin Fahrzeugen Raum bieten, also insbesondere auch zweispurigen Fahrzeugen, etwa Automobilen. Die Verordnungen zum Strassenverkehrsgesetz unterscheiden deutlich zwischen Fahrstreifen einerseits (siehe etwa Art. 1 Abs. 5 VRV , Art. 74 Abs. 1 und 2 SSV ) und Radstreifen andererseits (vgl. etwa Art. 1 Abs. 7 VRV , Art. 74 Abs. 5 SSV ). Zwar dürfen Radstreifen, die - wie im vorliegenden Fall - mit einer unterbrochenen Linie abgegrenzt sind, gemäss Art. 40 Abs. 3 VRV auch von Führern anderer Fahrzeuge (als Fahrräder) befahren werden, sofern diese dadurch den Fahrradverkehr nicht behindern. Solche Radstreifen sind aber gleichwohl für die Führer anderer Fahrzeuge (etwa Personenwagen und Motorräder) keine Fahrstreifen. Art. 8 Abs. 3 VRV berechtigt daher den Führer eines Motorrades nicht, unter Benützung des Radstreifens innerorts rechts an einem in gleicher Richtung fahrenden einzelnen Personenwagen vorbeizufahren. Der Beschwerdeführer hätte allenfalls dann unter Benützung des Radstreifens rechts am Lieferwagen vorbeifahren dürfen, wenn dessen Lenker angezeigt hätte, dass er nach links abbiegen wolle. Dies war indessen unstreitig nicht der Fall. Solange unklar war, was der Lenker des Lieferwagens beabsichtigte, hatte der Beschwerdeführer sich hinter diesem zu halten.</w:t>
      </w:r>
    </w:p>
    <w:p>
      <w:r>
        <w:rPr>
          <w:b/>
        </w:rPr>
        <w:t>E. 2.2</w:t>
      </w:r>
    </w:p>
    <w:p>
      <w:r>
        <w:t>Allerdings dürfen unter Umständen auch auf breiten Strassen ohne Fahrstreifen Fahrzeugkolonnen in gleicher Richtung nebeneinander fahren (vgl. Art. 44 Abs. 2 SVG , Art. 8 Abs. 2 und 3 VRV ) und darf beim Fahren in parallelen Kolonnen der Fahrzeugführer rechts an anderen Fahrzeugen vorbeifahren (siehe Art. 8 Abs. 3 VRV ). Die diesbezüglichen Voraussetzungen sind vorliegend aber nicht erfüllt. Weder ist die Sonneggstrasse eine breite Strasse, noch fuhren der Beschwerdeführer und der Lenker des Lieferwagens in parallelen Kolonnen.</w:t>
      </w:r>
    </w:p>
    <w:p>
      <w:r>
        <w:rPr>
          <w:b/>
        </w:rPr>
        <w:t>E. 2.3</w:t>
      </w:r>
    </w:p>
    <w:p>
      <w:r>
        <w:t>Der Beschwerdeführer ist unter Benützung des Radstreifens rechts am Lieferwagen vorbeigefahren, als dessen Lenker als Einzelfahrer die Geschwindigkeit verlangsamte. Der vorliegende Fall unterscheidet sich damit von den Sachverhalten, die in den Entscheiden 6S.370/1996 vom 5. Juli 1996 und 4C.277/1993 vom 18. Januar 1994 (letzterer publiziert in SJ 1994 S. 260 und JdT 1994 I S. 691) zu beurteilen waren und Motorradfahrer betrafen, welche unter Benützung eines Radstreifens rechts an einer stehenden Fahrzeugkolonne bis zu einer Lichtsignalanlage vorbeigefahren waren. Daher ist vorliegend nicht zu prüfen, ob an der in diesen beiden Entscheiden zum Ausdruck gebrachten Rechtsauffassung festgehalten werden kann.</w:t>
      </w:r>
    </w:p>
    <w:p>
      <w:r>
        <w:rPr>
          <w:b/>
        </w:rPr>
        <w:t>E. 2.4</w:t>
      </w:r>
    </w:p>
    <w:p>
      <w:r>
        <w:t>Die Verurteilung des Beschwerdeführers wegen einfacher Verletzung von Verkehrsregeln im Sinne von Art. 90 Ziff. 1 i.V.m. Art. 35 Abs. 1 SVG durch verbotenes Rechtsüberholen verstösst daher nicht gegen Bundesrecht. Die eidgenössische Nichtigkeitsbeschwerde ist deshalb abzuweisen.</w:t>
      </w:r>
    </w:p>
    <w:p>
      <w:r>
        <w:rPr>
          <w:b/>
        </w:rPr>
        <w:t>E. 3</w:t>
      </w:r>
    </w:p>
    <w:p>
      <w:r>
        <w:t>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