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6S.564/2000 vom 28. November 2000</w:t>
      </w:r>
    </w:p>
    <w:p>
      <w:r>
        <w:t>Bundesgericht, 2000-11-28, DE</w:t>
      </w:r>
    </w:p>
    <w:p>
      <w:r>
        <w:rPr>
          <w:b/>
        </w:rPr>
        <w:t xml:space="preserve">Quelle: </w:t>
      </w:r>
      <w:r>
        <w:t>https://mcp.opencaselaw.ch/entscheid/bger_6S.564_2000</w:t>
      </w:r>
    </w:p>
    <w:p>
      <w:r>
        <w:t>FR: TF 6S.564/2000 du 28 novembre 2000</w:t>
      </w:r>
    </w:p>
    <w:p>
      <w:r>
        <w:t>IT: TF 6S.564/2000 del 28 novembre 2000</w:t>
      </w:r>
    </w:p>
    <w:p>
      <w:pPr>
        <w:pStyle w:val="Heading2"/>
      </w:pPr>
      <w:r>
        <w:t>Erwägungen</w:t>
      </w:r>
    </w:p>
    <w:p>
      <w:r>
        <w:rPr>
          <w:b/>
        </w:rPr>
        <w:t>E. 1</w:t>
      </w:r>
    </w:p>
    <w:p>
      <w:r>
        <w:t>Der Beschwerdeführer macht eine Verletzung von Art. 43 Ziff. 1 Abs. 3 StGB geltend, weil er ohne ausreichendes Gutachten verwahrt worden sei. Er rügt insbesondere die Mangelhaftigkeit des Gutachtens von Dr. M. Kiesewetter, das lediglich auf Grund der Akten erstellt worden sei.</w:t>
      </w:r>
    </w:p>
    <w:p>
      <w:r>
        <w:t>Damit richtet sich der Beschwerdeführer gegen die Beweiswürdigung. Das ist im Verfahren der Nichtigkeitsbeschwerde unzulässig ( Art. 273 Abs. 1 lit. b BStP [SR 312. 0]). Auf das Vorbringen wird nicht eingetreten.</w:t>
      </w:r>
    </w:p>
    <w:p>
      <w:r>
        <w:rPr>
          <w:b/>
        </w:rPr>
        <w:t>E. 2</w:t>
      </w:r>
    </w:p>
    <w:p>
      <w:r>
        <w:t>Der Beschwerdeführer macht geltend, die Voraussetzungen der Verwahrung seien nicht gegeben; das angefochtene Urteil verletze Art. 43 Ziff. 1 Abs. 2 StGB .</w:t>
      </w:r>
    </w:p>
    <w:p>
      <w:r>
        <w:t>a) 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Einweisung in eine Heil- oder Pflegeanstalt anordnen.</w:t>
      </w:r>
    </w:p>
    <w:p>
      <w:r>
        <w:t>Er kann ambulante Behandlung anordnen, sofern der Täter für Dritte nicht gefährlich ist ( Art. 43 Ziff. 1 Abs. 1 StGB ). Gefährdet der Täter infolge seines Geisteszustandes die öffentliche Sicherheit in schwer wiegender Weise, so wird vom Richter seine Verwahrung angeordnet, wenn diese Massnahme notwendig ist, um ihn vor weiterer Gefährdung anderer abzuhalten. Die Verwahrung wird in einer geeigneten Anstalt vollzogen ( Art. 43 Ziff. 1 Abs. 2 StGB ).</w:t>
      </w:r>
    </w:p>
    <w:p>
      <w:r>
        <w:t>Die Verwahrung nach Art. 43 Ziff. 1 Abs. 2 StGB erfasst zum einen hochgefährliche Täter, die keiner Behandlung zugänglich sind; zum andern Täter, die zwar behandlungsbedürftig und behandlungsfähig sind, von denen aber auch während einer Behandlung schwere Delikte zu befürchten wären, wenn sie im Sinne von Art. 43 Ziff. 1 Abs. 1 StGB ambulant oder in einer Heil- und Pflegeanstalt behandelt würden. Es handelt sich hier um Täter, bei denen trotz ärztlicher Behandlung oder Pflege ernstlich die Gefahr schwerer Straftaten und vor allem von Gewaltdelikten bleibt, sei es innerhalb oder ausserhalb der Anstalt. Die Heilchancen sind bei dieser Täterkategorie kurz- oder mittelfristig derart ungewiss, dass in diesem Zeitraum schwere Delikte zu befürchten wären.</w:t>
      </w:r>
    </w:p>
    <w:p>
      <w:r>
        <w:t>In der Verwahrung ist eine therapeutische und ärztliche Hilfe nach Möglichkeit zu leisten. Neben dem Sicherungs- ist dem Heilungsaspekt Rechnung zu tragen. Die Verwahrung ist angesichts der Schwere des Eingriffs in die persönliche Freiheit ultima ratio und darf nicht angeordnet werden, wenn die bestehende Gefährlichkeit auf andere Weise behoben werden kann. Die Verwahrung nach Art. 43 StGB muss nicht in einer ärztlich geleiteten Anstalt, sondern kann gegebenenfalls auch in einer Strafanstalt vollzogen werden ( BGE 125 IV 118 E. 5b/bb mit Hinweisen).</w:t>
      </w:r>
    </w:p>
    <w:p>
      <w:r>
        <w:t>Unter welchen Voraussetzungen eine Gefährdung der öffentlichen Sicherheit in schwer wiegender Weise im Sinne von Art. 43 Ziff. 1 Abs. 2 StGB anzunehmen ist, ist eine Rechtsfrage; ebenso, was unter der in dieser Bestimmung vorausgesetzten Notwendigkeit der Verwahrung zu verstehen ist. Die schwer wiegende Gefährdung bezieht sich nicht nur auf Nähe und Ausmass der Gefahr, sondern auch auf Art bzw. Bedeutung des gefährdeten Rechtsgutes.</w:t>
      </w:r>
    </w:p>
    <w:p>
      <w:r>
        <w:t>Bei der Gefährdung hochwertiger Rechtsgüter wie Leib und Leben sind an Nähe und Ausmass der Gefahr weniger hohe Anforderungen zu stellen als bei der Gefährdung weniger bedeutender Rechtsgüter wie Eigentum und Vermögen. Entsprechend kann die Verwahrung bei Gefährdung von Leib und Leben schon dann im Sinne von Art. 43 Ziff. 1 Abs. 2 StGB notwendig sein, wenn die Gefahr nicht besonders gross ist. Dabei ist auch zu berücksichtigen, dass Gefährlichkeitsprognosen naturgemäss unsicher und schwierig sind. Hält der Richter auf Grund der Ausführungen des psychiatrischen Gutachters ein Fortbestehen der Fremdgefährlichkeit trotz ärztlicher Behandlung in der Zukunft für möglich, darf er die Gefährlichkeit als Voraussetzung für die Anordnung einer bestimmten Massnahme bejahen. Der Grundsatz "in dubio pro reo" gilt bei der Prognoseentscheidung nicht ( BGE 118 IV 108 E. 2a mit Hinweisen).</w:t>
      </w:r>
    </w:p>
    <w:p>
      <w:r>
        <w:t>b) Die Vorinstanz legt dar, nach dem Gutachten von Dr. med. J. Sachs vom 14. Juli 1994 leide der Beschwerdeführer unter einer paranoiden Persönlichkeitsstörung.</w:t>
      </w:r>
    </w:p>
    <w:p>
      <w:r>
        <w:t>Im Zusatzgutachten vom 17. Februar 1997 führe Dr. Sachs aus, wenn man die Entwicklung seit der Erstbegutachtung betrachte, sei festzustellen, dass sich in den Gedanken und Gefühlen des Beschwerdeführers keine Veränderung eingestellt habe. Man müsse sogar von einer Verhärtung der Gefühle ungerechtfertigter Behandlung und Zurückweisung ausgehen. Die Diagnose einer paranoiden Persönlichkeitsstörung sei zu bestätigen. Es zeigten sich nach wie vor die dafür erforderlichen Kriterien wie übertriebene Empfindlichkeit bei Rückschlägen und Zurücksetzung; eine Neigung zu ständigem Groll; Misstrauen und einen starken Hang, Erlebtes zu verdrehen; streitsüchtiges und beharrliches, situationsunangemessenes Bestehen auf eigenen Rechten; die Tendenz zu stark überhöhtem Selbstwertgefühl sowie Inanspruchnahme durch unbegründete Gedanken an Verschwörungen als Erklärung für Ereignisse in der näheren Umgebung und in der Welt. Die Drohung gegen Y.________ am 22. Januar 1997 müsse im Zusammenhang mit der Persönlichkeitsstörung des Beschwerdeführers gesehen werden.</w:t>
      </w:r>
    </w:p>
    <w:p>
      <w:r>
        <w:t>Die Vorinstanz bemerkt weiter, nach dem Zusatzgutachten von Dr. med. M. Kiesewetter vom 21. Juli 1999 gebe es hinsichtlich der Berechtigung der Diagnose einer paranoiden Persönlichkeitsstörung überhaupt keine Zweifel.</w:t>
      </w:r>
    </w:p>
    <w:p>
      <w:r>
        <w:t>Dr. Kiesewetter lege dar, unmittelbar nachvollziehbar sei auch die im Gutachten vom 17. Februar 1997 vertretene Auffassung, dass die schwere Störung eher noch zugenommen habe. Erhebliche Zweifel bestünden jedoch daran, ob die 1994 und 1997 gestellte Diagnose heute noch ausreichend sei, die Erlebens-, Reaktions- und Verhaltensbereitschaften des Beschwerdeführers zu erfassen.</w:t>
      </w:r>
    </w:p>
    <w:p>
      <w:r>
        <w:t>Zu diskutieren sei, ob allein noch von einer paranoiden Persönlichkeitsstörung (und einer querulatorischen Entwicklung) zu sprechen sei, oder ob nicht bereits eine Wahnentwicklung im Sinne einer anderen anhaltenden Störung (ICD-10 F. 22.8) vorliege (dazugehöriger Begriff: Querulanzwahn). Ein Zusammenhang zwischen Tat und Persönlichkeitsstörung bzw. krankhafter querulatorischer Entwicklung sei eindeutig zu bejahen.</w:t>
      </w:r>
    </w:p>
    <w:p>
      <w:r>
        <w:t>Die Vorinstanz führt sodann aus, die gemäss beiden Gutachtern hohe Rückfallgefahr beziehe sich nicht nur auf Verhaltensweisen wie im vorliegenden Fall (Drohung), sondern auch auf solche wie am 22./23. Februar 1994 (Gefährdung des Lebens). Den Akten seien verschiedene Vorfälle zu entnehmen, bei denen der Beschwerdeführer Personen, die nicht zum Umfeld des ehemaligen Arbeitgebers gehörten, bedroht habe. So habe er bereits in der Rekrutenschule entlassen werden müssen, weil er einen Vorgesetzten bedroht habe; 1991 habe er Morddrohungen gegen einen Gemeindepolizisten ausgestossen; im Dezember 1992 habe er einen Menschen mit einem Messerstich in den Bauch verletzt; im Januar 1994 habe er gegenüber einem Mitarbeiter des Arbeitsamtes Morddrohungen gegen Y.________ ausgestossen; im Februar 1994 habe sich der Beschwerdeführer in einem anonymen Flugblatt zum Mordfall an einer VOLG-Filialleiterin vernehmen lassen und die Ansicht vertreten, die Täter hätten statt der Filialleiterin ihren Arbeitgeber töten sollen; ebenso im Februar 1994 habe der Beschwerdeführer dem KIGA in Aarau telefoniert und gedroht, zwei Mitarbeiter würden "drankommen"; im Februar 1996 habe er sich darüber beschwert, dass er wegen des schlechten Arbeitszeugnisses von Y.________ keine Stelle mehr finde, und gesagt, dieser werde "es schon noch zu spüren bekommen".</w:t>
      </w:r>
    </w:p>
    <w:p>
      <w:r>
        <w:t>Aktenkundig sei weiter, dass der Beschwerdeführer im Sommer 1998 unter anderem auch gegen Dr. Sachs und dessen Familie massive Drohungen ausgesprochen habe. Beim Vorfall vom 22./23. Februar 1994 habe der Beschwerdeführer auf die Liegenschaft seines ehemaligen Vorarbeiters mehrere Schüsse abgefeuert. Einen Schuss habe er in Richtung Schlafzimmerfenster abgegeben, obschon er gewusst habe, dass sich dahinter Menschen befanden. Der Beschwerdeführer habe somit bis heute nicht nur unzählige Drohungen gegen das Umfeld seines Arbeitgebers, mit ihm befasste Behörden und Ärzte ausgestossen. Vielmehr ergebe sich aus seinem Verhalten, das zur Verurteilung wegen Gefährdung des Lebens geführt habe, auch die Bereitschaft, den Drohungen mit Waffengewalt Nachdruck zu verschaffen und dabei durch Schüsse Menschen in Lebensgefahr zu bringen.</w:t>
      </w:r>
    </w:p>
    <w:p>
      <w:r>
        <w:t>Die Vorinstanz nimmt in Würdigung der Beweise an, dass es sich bei den Äusserungen des Beschwerdeführers gegenüber Y.________ am 22. Januar 1997 um ernst gemeinte Morddrohungen handelte.</w:t>
      </w:r>
    </w:p>
    <w:p>
      <w:r>
        <w:t>In Bezug auf die Fremdgefährlichkeit des Beschwerdeführers kommt die Vorinstanz nach Auseinandersetzung mit den Gutachten zusammenfassend zum Schluss, es bestehe die hohe Wahrscheinlichkeit der Begehung mittelschwerer Straftaten gegen die Freiheit (Drohung), die in Art und Ausmass als intensiv zu bezeichnen seien.</w:t>
      </w:r>
    </w:p>
    <w:p>
      <w:r>
        <w:t>Es bestehe die grosse Gefahr, dass der Beschwerdeführer weitere schwere Straftaten begehe, in deren Rahmen er Menschen durch Schusswaffen in unmittelbare Lebensgefahr bringe. Damit verbunden sei die nicht mehr geringe Gefahr, dass dabei hochwertige Rechtsgüter wie Leib und Leben tatsächlich verletzt würden. Es bestehe die erhebliche Möglichkeit, dass der Beschwerdeführer im Rahmen einer mit erheblicher Wahrscheinlichkeit zunehmenden querulatorischen Entwicklung Morddrohungen tatsächlich in körperliche Angriffe umsetzen werde.</w:t>
      </w:r>
    </w:p>
    <w:p>
      <w:r>
        <w:t>Die Vorinstanz bemerkt schliesslich, nach den Aussagen der Gutachter sei auf Grund der fehlenden Behandlungswilligkeit wie auch der selbst bei Behandlungswilligkeit sehr geringen Erfolgsaussichten ein weiterer Behandlungsversuch, sei es ambulant oder stationär, aussichtslos.</w:t>
      </w:r>
    </w:p>
    <w:p>
      <w:r>
        <w:t>Die Vorinstanz habe gestützt auf den persönlichen Eindruck, den der Beschwerdeführer an der Berufungsverhandlung gemacht habe, keine Zweifel, dass dieser Befund nach wie vor zutreffe. Der Beschwerdeführer habe weder die Einsicht, behandlungsbedürftig zu sein, noch eine Behandlungswilligkeit zu erkennen gegeben.</w:t>
      </w:r>
    </w:p>
    <w:p>
      <w:r>
        <w:t>Andere Möglichkeiten als die Verwahrung, um ihn von weiterer Gefährdung anderer abzuhalten, - wie der Vollzug einer langen Freiheitsstrafe - bestünden nicht.</w:t>
      </w:r>
    </w:p>
    <w:p>
      <w:r>
        <w:t>c) Ausgehend von den verbindlichen tatsächlichen Feststellungen der Vorinstanz zur Fremdgefährlichkeit des Beschwerdeführers ( Art. 277bis Abs. 1 BStP ) verletzt die Anordnung der Verwahrung kein Bundesrecht.</w:t>
      </w:r>
    </w:p>
    <w:p>
      <w:r>
        <w:t>aa) In Gefahr sind hier Leib und Leben. Wie dargelegt, sind nach der Rechtsprechung bei der Gefährdung von Leib und Leben an Nähe und Ausmass der Gefahr weniger hohe Anforderungen zu stellen als bei der Gefährdung unbedeutender Rechtsgüter; die Verwahrung kann bei Gefährdung von Leib und Leben schon dann im Sinne von Art. 43 Ziff. 1 Abs. 2 StGB notwendig sein, wenn die Gefahr nicht besonders gross ist. Im vorliegenden Fall besteht auf Grund der Feststellungen der Vorinstanz eine erhebliche Gefahr für Leib und Leben, insbesondere des ehemaligen Arbeitgebers. Von Bedeutung ist, dass der Beschwerdeführer - nebst der Körperverletzung mit einem Messer in Notwehrexzess - bereits einmal eine Schusswaffe gegen Menschen eingesetzt hat. Wie zu entscheiden wäre, wenn es bei den massiven Drohungen allein geblieben wäre, kann offen bleiben.</w:t>
      </w:r>
    </w:p>
    <w:p>
      <w:r>
        <w:t>bb) Der Grundsatz "in dubio pro reo" gilt, wie dargelegt, bei der Prognosestellung nicht. Wie Stratenwerth (Schweizerisches Strafrecht, Allgemeiner Teil II, Bern 1989, § 11 N 131 ) zutreffend sagt, muss der Entscheid auch gegenüber den möglichen Opfern eines in Freiheit belassenen Täters verantwortet werden, hier also insbesondere gegenüber dem ehemaligen Arbeitgeber und den Personen aus dessen Umfeld.</w:t>
      </w:r>
    </w:p>
    <w:p>
      <w:r>
        <w:t>cc) Der Beschwerdeführer bringt vor, er sei lediglich wegen Drohung mit 7 Monaten Gefängnis bestraft worden. Die Anlasstat wiege somit nicht schwer; die Verwahrung sei unverhältnismässig.</w:t>
      </w:r>
    </w:p>
    <w:p>
      <w:r>
        <w:t>Der Einwand ist unbegründet. Entscheidend für die Frage der Verwahrung ist nicht die Gefährlichkeit der Anlasstat, sondern des Geisteszustandes des Täters.</w:t>
      </w:r>
    </w:p>
    <w:p>
      <w:r>
        <w:t>Die Verwahrung kommt in Betracht, auch wenn die Anlasstat nicht als schwer wiegend einzustufen ist.</w:t>
      </w:r>
    </w:p>
    <w:p>
      <w:r>
        <w:t>Die Morddrohung des Beschwerdeführers am 22. Januar 1997 steht offensichtlich in Zusammenhang mit den zahlreichen weiteren Drohungen gleicher Art und insbesondere mit der Gefährdung des Lebens im Jahre 1994.</w:t>
      </w:r>
    </w:p>
    <w:p>
      <w:r>
        <w:t>Die neuerliche schwere Drohung nur rund einen Monat nach der Entlassung aus dem Strafvollzug zeigt, dass der Beschwerdeführer auf Grund seines Geisteszustandes für Dritte, insbesondere Y.________, nach wie vor eine ernstliche Gefahr darstellt.</w:t>
      </w:r>
    </w:p>
    <w:p>
      <w:r>
        <w:t>Die Verwahrung verletzt auch unter diesem Gesichtspunkt kein Bundesrecht.</w:t>
      </w:r>
    </w:p>
    <w:p>
      <w:r>
        <w:t>dd) Der Beschwerdeführer macht geltend, er befinde sich seit Januar 1997 in Haft. Die Wirkung des langen Freiheitsentzuges sei zu berücksichtigen.</w:t>
      </w:r>
    </w:p>
    <w:p>
      <w:r>
        <w:t>Der Einwand überzeugt nicht. Der Vollzug der im Jahre 1995 ausgesprochenen Zuchthausstrafe von 2½ Jahren hat den Beschwerdeführer nicht vor einem Rückfall kurz nach der Entlassung bewahrt, obgleich er vorher einen "Friedensvertrag" unterzeichnet hatte. In der jetzigen Haft hat er keinen derartigen Vertrag unterschrieben.</w:t>
      </w:r>
    </w:p>
    <w:p>
      <w:r>
        <w:t>Der Beschwerdeführer ist nach den Feststellungen der Vorinstanz zudem einsichtslos. Umso mehr ist die Gefahr des Rückfalls ernst zu nehmen.</w:t>
      </w:r>
    </w:p>
    <w:p>
      <w:r>
        <w:t>ee) Der Beschwerdeführer bringt vor, die öffentliche Sicherheit sei nicht gefährdet. Von seinen Taten sei nur ein begrenzter Personenkreis im Umfeld des ehemaligen Arbeitgebers betroffen gewesen. Anzeichen dafür, dass der Beschwerdeführer ausserhalb dieses Umfeldes Dritte in ernst zu nehmender Weise gefährde, bestünden nicht.</w:t>
      </w:r>
    </w:p>
    <w:p>
      <w:r>
        <w:t>Der Einwand ist unbegründet. Nach den tatsächlichen Feststellungen der kantonalen Behörden hat der Beschwerdeführer massive Drohungen gegen eine Vielzahl von Personen ausgesprochen, auch gegen solche, die nicht zum Umfeld des früheren Arbeitgebers gehören. Soweit der Beschwerdeführer von einem anderen Sachverhalt ausgeht, kann auf die Beschwerde nicht eingetreten werden ( Art. 273 Abs. 1 lit. b BStP ). Selbst wenn seiner Darstellung zu folgen wäre, würde ihm das im Übrigen nicht helfen. Die öffentliche Sicherheit bedeutet die Unverletzlichkeit unter anderem der Rechtsgüter der Einzelnen (Ulrich Häfelin/Georg Müller, Grundriss des Allgemeinen Verwaltungsrechts,</w:t>
      </w:r>
    </w:p>
    <w:p>
      <w:r>
        <w:rPr>
          <w:b/>
        </w:rPr>
        <w:t>E. 3</w:t>
      </w:r>
    </w:p>
    <w:p>
      <w:r>
        <w:t>Die Beschwerde wird abgewiesen, soweit darauf eingetreten werden kann.</w:t>
      </w:r>
    </w:p>
    <w:p>
      <w:r>
        <w:t>Die unentgeltliche Rechtspflege wird bewilligt.</w:t>
      </w:r>
    </w:p>
    <w:p>
      <w:r>
        <w:t>Es werden keine Kosten erhoben.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