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6S.554/2006 vom 15. März 2007</w:t>
      </w:r>
    </w:p>
    <w:p>
      <w:r>
        <w:t>Bundesgericht, 2007-03-15, FR</w:t>
      </w:r>
    </w:p>
    <w:p>
      <w:r>
        <w:rPr>
          <w:b/>
        </w:rPr>
        <w:t xml:space="preserve">Quelle: </w:t>
      </w:r>
      <w:r>
        <w:t>https://mcp.opencaselaw.ch/entscheid/bger_6S.554_2006</w:t>
      </w:r>
    </w:p>
    <w:p>
      <w:r>
        <w:t>FR: TF 6S.554/2006 du 15 mars 2007</w:t>
      </w:r>
    </w:p>
    <w:p>
      <w:r>
        <w:t>IT: TF 6S.554/2006 del 15 marzo 2007</w:t>
      </w:r>
    </w:p>
    <w:p>
      <w:pPr>
        <w:pStyle w:val="Heading2"/>
      </w:pPr>
      <w:r>
        <w:t>Erwägungen</w:t>
      </w:r>
    </w:p>
    <w:p>
      <w:r>
        <w:rPr>
          <w:b/>
        </w:rPr>
        <w:t>E. 1</w:t>
      </w:r>
    </w:p>
    <w:p>
      <w:r>
        <w:t>Le jugement attaqué a été prononcé avant l'entrée en vigueur, le 1er janvier 2007, de la loi fédérale du 17 juin 2005 sur le Tribunal fédéral (LTF; RO 2006 1205). Or, conformément à l' art. 132 al. 1 LTF , cette loi ne s'applique aux procédures de recours que si l'acte attaqué a été rendu après son entrée en vigueur. C'est donc sur la base de l'ancien droit de procédure, en l'espèce les art. 268 ss PPF concernant le pourvoi en nullité et 83 ss OJ relatifs au recours de droit public, que doit être tranchée la présente cause.</w:t>
      </w:r>
    </w:p>
    <w:p>
      <w:r>
        <w:rPr>
          <w:b/>
        </w:rPr>
        <w:t>E. 2</w:t>
      </w:r>
    </w:p>
    <w:p>
      <w:r>
        <w:t>Le Tribunal fédéral examine d'office et avec pleine cognition la recevabilité des recours qui lui sont soumis ( ATF 132 III 747 consid. 4 et la jurisprudence citée).</w:t>
      </w:r>
    </w:p>
    <w:p>
      <w:r>
        <w:rPr>
          <w:b/>
        </w:rPr>
        <w:t>E. 3</w:t>
      </w:r>
    </w:p>
    <w:p>
      <w:r>
        <w:t>En tant que pourvoi en nullité, l'envoi du recourant est irrecevable, faute de motifs correspondant aux exigences de l' art. 273 al. 1 let. b PPF (indication de la violation du droit fédéral et de sa nature).</w:t>
      </w:r>
    </w:p>
    <w:p>
      <w:r>
        <w:rPr>
          <w:b/>
        </w:rPr>
        <w:t>E. 4</w:t>
      </w:r>
    </w:p>
    <w:p>
      <w:r>
        <w:t>Considéré comme un recours de droit public, le mémoire présenté, qui n'émane pas d'un homme de loi, est certes succinct mais il contient la mention de la violation de la présomption d'innocence. Le recourant soutient d'une manière suffisamment claire qu'il a été condamné sans preuve de sa culpabilité et que les preuves offertes ont été méconnues. Dans ces circonstances, on peut admettre que les exigences de l' art. 90 al. 1 let. b OJ sont remplies. Les conclusions implicites du recourant, tendant à l'annulation du jugement attaqué en vue de son acquittement, sont ainsi recevables. Les voies de recours cantonales, s'agissant d'une contestation qui porte sur les faits, sont épuisées (voir ATF 131 I 372 ).</w:t>
      </w:r>
    </w:p>
    <w:p>
      <w:r>
        <w:rPr>
          <w:b/>
        </w:rPr>
        <w:t>E. 5</w:t>
      </w:r>
    </w:p>
    <w:p>
      <w:r>
        <w:t>La présomption d'innocence, garantie expressément à l' art. 32 al. 1 Cst. et 6 par. 2 CEDH, et le principe « in dubio pro reo », qui est son corollaire, concernent tant le fardeau de la preuve que l'appréciation des preuves ( ATF 120 Ia 31 consid. 2c p. 36).</w:t>
      </w:r>
    </w:p>
    <w:p>
      <w:r>
        <w:t>En tant que règles sur le fardeau de la preuve, ces principes signifient, au stade du jugement, que ce fardeau incombe exclusivement à l'accusation et que le doute doit profiter à l'accusé. Comme règle sur l'appréciation des preuves, ils sont violés lorsque le juge, qui s'est déclaré convaincu, aurait dû éprouver des doutes quant à la culpabilité de l'accusé au vu des éléments de preuve qui lui étaient soumis ( ATF 127 I 38 consid. 2a; 124 IV 86 consid. 2a p. 88).</w:t>
      </w:r>
    </w:p>
    <w:p>
      <w:r>
        <w:t>Le Tribunal fédéral examine librement si ces principes ont été violés en tant que règles sur le fardeau de la preuve. Il examine uniquement sous l'angle de l'arbitraire la question de savoir si le juge aurait dû éprouver un doute, c'est-à-dire celle de l'appréciation des preuves ( ATF 124 IV 86 consid. 2a p. 88 déjà cité).</w:t>
      </w:r>
    </w:p>
    <w:p>
      <w:r>
        <w:rPr>
          <w:b/>
        </w:rPr>
        <w:t>E. 6</w:t>
      </w:r>
    </w:p>
    <w:p>
      <w:r>
        <w:t>En l'espèce, le Tribunal de police reproche littéralement à l'accusé de n'avoir pas apporté la preuve qu'il ne conduisait pas son véhicule le jour de l'infraction alors qu'il aurait pu démontrer ce fait. C'est clairement méconnaître qu'il incombait à l'accusation, et à elle seule, de démontrer la présence de l'intéressé au volant lors de l'excès de vitesse. Il y a là un renversement du fardeau de la preuve contraire à la présomption d'innocence.</w:t>
      </w:r>
    </w:p>
    <w:p>
      <w:r>
        <w:t>Le pourvoi, considéré comme un recours de droit public, doit être admis pour ce motif déjà.</w:t>
      </w:r>
    </w:p>
    <w:p>
      <w:r>
        <w:rPr>
          <w:b/>
        </w:rPr>
        <w:t>E. 7</w:t>
      </w:r>
    </w:p>
    <w:p>
      <w:r>
        <w:t>Sous l'angle de l'appréciation des preuves, le Tribunal de police aurait dû éprouver des doutes, lesquels devaient profiter à l'accusé. En effet, celui-ci faisait partie d'une collectivité d'une cinquantaine de personnes occupant un bâtiment public désaffecté. D'après lui, pendant les trois jours de son absence à l'étranger, il a laissé sa voiture à la disposition du groupe. Il travaille pour une organisation sans but lucratif et organise des camps avec les enfants pour aménager les installations solaires. Il a offert de citer des personnes pouvant témoigner de son absence et de produire des documents de voyage. Il a déposé la déclaration écrite d'une personne affirmant que le recourant était à l'étranger au moment des faits (pièce jugée insuffisante par le Tribunal, sans autre motif).</w:t>
      </w:r>
    </w:p>
    <w:p>
      <w:r>
        <w:t>A la lumière de ces éléments, le déplacement de l'accusé à l'étranger et le fait qu'il ait pu prêter sa voiture apparaissent plausibles. Sa présence au volant devenait pour le moins douteuse (même si sa défense, peu conventionnelle, manquait de rigueur). D'ailleurs, le texte du jugement n'exclut pas que le Tribunal de police ait éprouvé un doute. En réalité, cette autorité n'exprime pas la conviction que l'intéressé conduisait la voiture mais invoque une présomption -discutable (voir ATF 106 IV 142 consid. 3)- d'après laquelle le détenteur du véhicule est censé le conduire. Dans la mesure où cela traduisait un doute du juge, ce doute aurait dû profiter à l'accusé.</w:t>
      </w:r>
    </w:p>
    <w:p>
      <w:r>
        <w:t>Le jugement attaqué doit être annulé également pour ce motif.</w:t>
      </w:r>
    </w:p>
    <w:p>
      <w:r>
        <w:rPr>
          <w:b/>
        </w:rPr>
        <w:t>E. 8</w:t>
      </w:r>
    </w:p>
    <w:p>
      <w:r>
        <w:t>Considéré comme un recours de droit public, le pourvoi doit être admis. Le jugement attaqué est annulé et la cause est renvoyée au Tribunal de police pour nouvelle décision.</w:t>
      </w:r>
    </w:p>
    <w:p>
      <w:r>
        <w:t>Il n'est pas perçu de frais ni alloué de dépens au recourant, qui agissait sans avocat.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