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6S.537/2006 vom 20. März 2007</w:t>
      </w:r>
    </w:p>
    <w:p>
      <w:r>
        <w:t>Bundesgericht, 2007-03-20, FR</w:t>
      </w:r>
    </w:p>
    <w:p>
      <w:r>
        <w:rPr>
          <w:b/>
        </w:rPr>
        <w:t xml:space="preserve">Quelle: </w:t>
      </w:r>
      <w:r>
        <w:t>https://mcp.opencaselaw.ch/entscheid/bger_6S.537_2006</w:t>
      </w:r>
    </w:p>
    <w:p>
      <w:r>
        <w:t>FR: TF 6S.537/2006 du 20 mars 2007</w:t>
      </w:r>
    </w:p>
    <w:p>
      <w:r>
        <w:t>IT: TF 6S.537/2006 del 20 marzo 2007</w:t>
      </w:r>
    </w:p>
    <w:p>
      <w:pPr>
        <w:pStyle w:val="Heading2"/>
      </w:pPr>
      <w:r>
        <w:t>Regeste</w:t>
      </w:r>
    </w:p>
    <w:p>
      <w:r>
        <w:t>Fixation de la peine (art. 63 CP) | Droit pénal (en général)</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 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2</w:t>
      </w:r>
    </w:p>
    <w:p>
      <w:r>
        <w:t>Les deux pourvois sont dirigés contre le même jugement cantonal et reposent sur le même état de fait. Il convient de joindre les causes. Le pourvoi du Ministère public, dont l'issue est susceptible de rendre sans objet celui de l'accusé sera examiné en premier lieu.</w:t>
      </w:r>
    </w:p>
    <w:p>
      <w:r>
        <w:rPr>
          <w:b/>
        </w:rPr>
        <w:t>E. 3</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éventuellement,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 I. Pourvoi du Ministère public</w:t>
      </w:r>
    </w:p>
    <w:p>
      <w:r>
        <w:rPr>
          <w:b/>
        </w:rPr>
        <w:t>E. 4</w:t>
      </w:r>
    </w:p>
    <w:p>
      <w:r>
        <w:t>Le Ministère public reproche à la cour cantonale d'avoir nié que la condition subjective du blanchiment d'argent fût donnée en l'espèce.</w:t>
      </w:r>
    </w:p>
    <w:p>
      <w:r>
        <w:rPr>
          <w:b/>
        </w:rPr>
        <w:t>E. 4.1.1</w:t>
      </w:r>
    </w:p>
    <w:p>
      <w:r>
        <w:t>Conformément à l' art. 305bis al. 1 CP , dans sa teneur en vigueur jusqu'au 31 décembre 2006, celui qui aura commis un acte propre à entraver l'identification de l'origine, la découverte ou la confiscation de valeurs patrimoniales dont il savait ou devait présumer qu'elles provenaient d'un crime, sera puni de l'emprisonnement ou de l'amende. L'auteur de l'infraction principale peut également se rendre coupable de blanchiment ( ATF 124 IV 274 consid. 3, p. 276; 120 IV 323 consid. 3, p. 325). Au plan subjectif, l'intention du blanchisseur doit porter non seulement sur la provenance criminelle des valeurs patrimoniales, mais aussi sur le fait que l'acte commis est de nature à entraver l'identification de l'origine, la découverte ou la confiscation de celles-ci. Le dol éventuel suffit ( ATF 122 IV 211 consid. 2e p. 217; 119 IV 242 consid. 2, p. 247).</w:t>
      </w:r>
    </w:p>
    <w:p>
      <w:r>
        <w:rPr>
          <w:b/>
        </w:rPr>
        <w:t>E. 4.1.2</w:t>
      </w:r>
    </w:p>
    <w:p>
      <w:r>
        <w:t>En l'espèce, ni l'origine délictuelle de la somme, ni la connaissance qu'avait l'intimé de cette origine ne sont discutées, la somme provenant de la vente d'une importante quantité de drogue, à laquelle l'intimé a participé. Est, en revanche, litigieuse l'intention de l'intimé d'entraver l'identification de l'origine, la découverte ou la confiscation du produit de la vente de la drogue.</w:t>
      </w:r>
    </w:p>
    <w:p>
      <w:r>
        <w:rPr>
          <w:b/>
        </w:rPr>
        <w:t>E. 4.2.1</w:t>
      </w:r>
    </w:p>
    <w:p>
      <w:r>
        <w:t>Sur ce point, la cour cantonale a jugé qu'elle était liée par la constatation du Tribunal correctionnel selon laquelle l'intimé ne s'était pas du tout préoccupé de dissimuler l'argent de la drogue, mais entendait uniquement faire un placement en vue de payer le fournisseur (arrêt cantonal, consid. 2b, p. 6). Selon le Tribunal correctionnel, en effet, il ressortait des déclarations de l'intimé qu'il s'agissait, d'un commun accord avec C.________, d'investir l'argent dans cette affaire de kebabs et d'être ainsi en mesure d'en restituer tout ou partie à A.________ lorsqu'il sortirait de prison, tout en profitant, dans l'intervalle, de cet investissement (jugement du 21 juin 2006, consid. 2.1 p. 9). Le Tribunal correctionnel en a déduit que l'intimé n'avait pas injecté l'argent dans le circuit économique pour donner l'impression qu'il s'agissait de recettes licites. Son objectif était beaucoup moins élaboré. Il s'agissait uniquement de faire travailler l'argent, ce qui servait les intérêts de C.________ et permettait de disposer d'un capital susceptible d'être ultérieurement remis au fournisseur de la drogue. L'objectif était donc de se ménager la possibilité de payer le fournisseur et non de cacher l'argent, ce qui excluait le dol éventuel (jugement du 26 juin 2006, consid. 3, p. 10 s.). Selon le recourant, en revanche, si le but de l'intimé était de faire travailler l'argent (dessein) et qu'il entendait disposer d'un capital susceptible d'être remis ultérieurement aux fournisseurs de la drogue, le fait de se ménager la possibilité de payer plus tard le fournisseur en faisant travailler l'argent dans l'intervalle constitue l'essence de l'intention de blanchir et donc un dol direct.</w:t>
      </w:r>
    </w:p>
    <w:p>
      <w:r>
        <w:rPr>
          <w:b/>
        </w:rPr>
        <w:t>E. 4.2.2</w:t>
      </w:r>
    </w:p>
    <w:p>
      <w:r>
        <w:t>Il y a dol éventuel lorsque l'auteur envisage le résultat dommageable, mais agit néanmoins, même s'il ne le souhaite pas, parce qu'il s'en accommode pour le cas où il se produirait ( ATF 131 IV 1 consid. 2.2 p. 4 s.). Il y a dol direct lorsque l'auteur a envisagé, en prenant sa décision, un résultat illicite même s'il lui était indifférent ou qu'il le jugeait indésirable, mais qui constituait la conséquence nécessaire ou le moyen de parvenir au but qu'il recherchait ( ATF 119 IV 193 consid. 2b/cc, p. 194). Ces deux formes du dol ne se distinguent qu'en ce qui concerne ce que sait l'auteur, qui considère le résultat comme certain dans le second cas et comme hypothétique dans le premier, mais non sur le plan de la volonté ( ATF 98 IV 65 , consid. 4, p. 66). Par ailleurs, la délimitation entre le dol éventuel et la négligence consciente peut se révéler délicate. L'une et l'autre forme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 p. 61).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 ATF 130 IV 58 consid. 8.4 p. 62).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 ATF 130 IV 58 consid. 8.4, p. 62). En matière de blanchiment, la doctrine admet que l'on peut en principe déduire du fait que l'auteur a agi en connaissance du risque que son acte crée une entrave à la recherche, à la découverte de l'origine ou à la confiscation des valeurs patrimoniales (notamment lorsqu'il connaît l'origine illicite des fonds), qu'il s'est déterminé en défaveur du bien juridiquement protégé. Seul peut être réservé le cas où au moment d'agir, ou immédiatement après, un intermédiaire financier, par exemple, aura pris des mesures propres à éviter la réalisation du risque (Jürg-Beat Ackermann, Einziehung, Organisiertes Verbrechen, Geldwäscherei, Band I, Kommentar, N. Schmid [Hrsg.], Zurich 1998, § 5 n. 421, p. 589).</w:t>
      </w:r>
    </w:p>
    <w:p>
      <w:r>
        <w:rPr>
          <w:b/>
        </w:rPr>
        <w:t>E. 4.2.3</w:t>
      </w:r>
    </w:p>
    <w:p>
      <w:r>
        <w:t>Ce que l'auteur savait, voulait ou ce dont il acceptait l'avènement fait partie du contenu de la pensée et la constatation de celui-ci relève de l'établissement des faits ( ATF 110 IV 22 , consid. 2, 77, consid. 1c, 109 IV 47 consid. 1, 104 IV 36 consid. 1 et cit.), aussi ne devrait-il en principe pas être examiné dans le cadre d'un pourvoi en nullité ( art. 273 al. 1 let. b et 277bis PPF ), même si l'autorité cantonale s'est prononcée sur ce point en l'absence d'aveux de l'auteur ou d'éléments extérieurs révélateurs. On ne peut toutefois méconnaître que dans ce domaine, les questions de fait et de droit interfèrent étroitement, sur certains points (cf. Schubarth, Einheitsbeschwerde, AJP/PJA 1992 p. 851 s.). Il incombe ainsi à l'autorité cantonale d'établir de manière aussi complète que possible les circonstance extérieures susceptibles d'établir la volonté interne de l'accusé. Le Tribunal fédéral peut, jusqu'à un certain point, examiner l'appréciation de ces circonstances au regard de la notion juridique de dol éventuel ( ATF 130 IV 58 consid. 8.5, p. 62).</w:t>
      </w:r>
    </w:p>
    <w:p>
      <w:r>
        <w:rPr>
          <w:b/>
        </w:rPr>
        <w:t>E. 4.2.4</w:t>
      </w:r>
    </w:p>
    <w:p>
      <w:r>
        <w:t>En l'espèce, il convient tout d'abord de relever que contrairement à ce que soutient le recourant, le Tribunal correctionnel n'a pas examiné si, objectivement, l'investissement de l'intimé était de nature à entraver l'identification de l'origine, la découverte ou la confiscation du montant de 16'500 francs, mais a interrompu son raisonnement après avoir conclu à l'absence d'intention de l'auteur sur la base des seules dénégations de ce dernier. Il est cependant établi que la somme de 16'500 francs a été investie dans l'acquisition d'un local destiné à accueillir un commerce. Par ailleurs, la somme a été remise par C.________ et E.________ aux propriétaires du local lors d'une rencontre (jugement du 21 juin 2006, p. 8), ce qui sous-entend qu'elle l'a été en liquide, soit sans laisser de véritables traces comptables. Aussi, même relativement sommaire, cette opération était-elle de nature à entraver l'identification de l'origine, la découverte ou la confiscation de la somme. Sur le plan objectif, en effet, l'acte de blanchiment ne suppose ni des transactions financières complexes, ni une énergie criminelle particulière ( ATF 122 IV 211 consid. 3b/aa p. 218). Le simple fait de cacher une somme d'argent ( ATF 119 IV 59 consid. 2e p. 64), comme le transfert de propriété en exécution d'une vente (Ursula Cassani, Commentaire du droit pénal suisse, partie spéciale, vol. 9, art. 305bis, n. 36, p. 73), l'achat d'immeubles en particulier (Jürg-Beat Ackermann, Einziehung, Organisiertes Verbrechen, Geldwäscherei, Band I, Kommentar, N. Schmid [Hrsg.], Zurich 1998, § 5 n. 345, p. 547) peuvent suffire.</w:t>
      </w:r>
    </w:p>
    <w:p>
      <w:r>
        <w:rPr>
          <w:b/>
        </w:rPr>
        <w:t>E. 4.2.5</w:t>
      </w:r>
    </w:p>
    <w:p>
      <w:r>
        <w:t>Cela étant, sur le plan subjectif, l'activité de l'intimé consistant à investir 16'500 francs dans l'achat d'un local ne peut être dissociée de sa propre participation active à l'infraction principale. Selon l'état de fait du jugement du Tribunal correctionnel, auquel l'arrêt cantonal renvoie dans son intégralité (arrêt cantonal, consid. B, p. 2), entré en possession des deux kilos d'héroïne, l'intimé s'est empressé de transmettre la drogue à C.________, afin de limiter son propre risque pénal (jugement du 21 juin 2006, p. 8), dont il avait ainsi conscience. Par ailleurs, décrit comme un homme intelligent (jugement du 21 juin 2006, p. 6), l'intimé a fréquenté la faculté d'économie de l'Université de Tokat et est devenu responsable des ventes dans une entreprise qui emploie 65 personnes et réalise un chiffre d'affaires annuel de 24 millions de francs. On peut déduire du rapprochement de ces éléments que l'intimé ne pouvait ignorer que le fait que la somme a été remise en liquide par C.________ et E.________ aux propriétaires du local lors d'une rencontre (jugement du 21 juin 2006, p. 8) fût de nature à rendre plus difficile la découverte, l'identification de l'origine ou la confiscation de l'actif qu'il entendait faire fructifier, ne serait-ce qu'en raison de l'absence de toute trace comptable, bancaire ou postale notamment. Or, il n'y a plus place, dans une telle hypothèse, pour la négligence consciente. Cela supposerait en effet, paradoxalement, que l'intéressé ait supputé - alors qu'il craignait des poursuites pénales en relation avec la vente de la drogue et savait que son investissement était de nature à entraver la découverte ou l'identification de l'origine de la somme - que la découverte, l'identification de l'origine de la somme ou la confiscation de cette dernière ne seraient pas entravées. Il n'y a, dès lors, d'autre conclusion possible que d'admettre que l'intimé s'est tout au moins accommodé de l'éventualité que son investissement soit de nature à entraver la découverte ou l'identification de l'origine des 16'500 francs issus de la vente de la drogue et a ainsi agi avec intention au sens de l' art. 18 CP . Le point de savoir si l'intimé a vu dans ce résultat une conséquence nécessaire (dol direct) ou simplement possible (dol éventuel) de son acte peut demeurer indécis. Le grief est bien fondé et le recours doit être admis.</w:t>
      </w:r>
    </w:p>
    <w:p>
      <w:r>
        <w:rPr>
          <w:b/>
        </w:rPr>
        <w:t>E. 5</w:t>
      </w:r>
    </w:p>
    <w:p>
      <w:r>
        <w:t>L'intimé succombe. Il supporte les frais de la procédure ( art. 278 al. 1 PPF ). Il n'y a pas lieu d'allouer des dépens au recourant ( art. 278 al. 3 PPF ). II. Pourvoi du condamné</w:t>
      </w:r>
    </w:p>
    <w:p>
      <w:r>
        <w:rPr>
          <w:b/>
        </w:rPr>
        <w:t>E. 6</w:t>
      </w:r>
    </w:p>
    <w:p>
      <w:r>
        <w:t>X.________ ne conteste que la peine qui lui a été infligée ( art. 63 CP ). L'admission du pourvoi du Ministère public rend prématuré l'examen de ce grief. Le pourvoi est sans objet. Il n'y a pas lieu de prélever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