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6S.511/2001 vom 9. Januar 2001</w:t>
      </w:r>
    </w:p>
    <w:p>
      <w:r>
        <w:t>Bundesgericht, 2001-01-09, FR</w:t>
      </w:r>
    </w:p>
    <w:p>
      <w:r>
        <w:rPr>
          <w:b/>
        </w:rPr>
        <w:t xml:space="preserve">Quelle: </w:t>
      </w:r>
      <w:r>
        <w:t>https://mcp.opencaselaw.ch/entscheid/bger_6S.511_2001</w:t>
      </w:r>
    </w:p>
    <w:p>
      <w:r>
        <w:t>FR: TF 6S.511/2001 du 9 janvier 2001</w:t>
      </w:r>
    </w:p>
    <w:p>
      <w:r>
        <w:t>IT: TF 6S.511/2001 del 9 gennaio 2001</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Invoquant une violation de l' art. 24 CP , le recourant soutient qu'il ne pouvait être considéré comme un instigateur. Il fait valoir qu'on peut tout au plus lui reprocher d'avoir eu l'idée d'un échange entre le CD-ROM et une somme d'argent, ce qui ne suffit pas pour retenir une instigation, laquelle requiert un comportement actif, décisif et causal ainsi que l'intention de provoquer la commission d'un crime. a) Est un instigateur celui qui, intentionnellement, décide autrui à commettre un crime ou un délit ( art. 24 al. 1 CP ).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127 IV 122 consid. 2b/aa p. 127 s. et la jurisprudence citée; cf. également ATF 124 IV 34 con-sid. 2c p. 37 s. et les références citées).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127 IV 122 consid. 2b/aa p. 127 s. et les références citées). Sur le plan subjectif, l'instigation doit être intentionnelle, mais le dol éventuel suffit ( ATF 116 IV 1 consid. 3d p. 3 et les références citées).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 L'instigation étant une forme de participation à une infraction déterminée, ses éléments matériels sont ceux de cette infraction. Savoir s'il y a eu instigation à une infraction donnée doit donc être déterminé en référence aux éléments de cette infraction. b) Se rend coupable de vol celui qui, pour se procurer ou procurer à un tiers un enrichissement illégitime, soustrait une chose mobilière appartenant à autrui dans le but de se l'approprier ( art. 139 ch. 1 al. 1 CP ). Un support de données, tel qu'un CD-ROM ou une copie de celui-ci, est une chose mobilière, de sorte que celui qui, intentionnellement et dans un dessein d'enrichissement, soustrait un tel objet appartenant à autrui pour se l'approprier, que ce soit en vue de le conserver ou de l'aliéner ( ATF 85 IV 17 consid. 1 p. 19), commet un vol ( ATF 111 IV 74 consid. 1 p. 75). La question - controversée en doctrine (cf. Stratenwerth, BT I, 5ème éd. Berne 1995, § 14 n° 34; Trechsel, Kurzkommentar, 2ème éd. Zurich 1997, art. 143 n° 10; Niklaus Schmid, Das neue Computerstrafrecht, RPS 1995 p. 22 ss, p. 29) - de savoir si la soustraction d'un support de données peut éventuellement aussi tomber sous le coup de l' art. 143 CP , applicable en concours, n'a pas à être examinée ici, compte tenu de l'interdiction de la reformatio in pejus. Le vol est punissable de la réclusion pour cinq ans au plus ou de l'emprisonnement. Il s'agit donc d'un crime, de sorte que la tentative d'instigation à cette infraction est punissable. c) L'arrêt attaqué reproche au recourant d'avoir tenté de décider Z.________ à remettre à X.________, en contrepartie d'une somme de 20.000 francs, la copie d'un CD-ROM appartenant à ses employeurs. Il n'est à juste titre pas contesté que celui qui, pour la remettre à un tiers en contrepartie d'une somme d'argent, s'approprie une chose mobilière appartenant à autrui commet un vol. Contrairement à ce qu'il tente de faire admettre, le recourant n'a pas seulement "eu l'idée" de proposer à Z.________ l'échange du CD-ROM contre une somme d'argent. L'arrêt attaqué retient - ce qui relève du fait et lie donc la Cour de céans (cf. supra, consid. 1) - que le recourant a soumis cette idée à Z.________. Il résulte par ailleurs clairement des faits retenus que Z.________ n'avait lui-même jamais eu l'idée d'un tel échange, auquel il n'a songé que parce qu'il lui a été suggéré par le recourant. Ce dernier ne s'est d'ailleurs pas borné à soumettre à Z.________ l'idée de l'échange; il s'est employé rapidement et activement à faire en sorte que l'échange puisse se faire, contactant immédiatement X.________ et organisant une rencontre pour le soir même, à l'issue de laquelle Z.________, selon les constatations de fait cantonales, était déterminé à remettre le CD-ROM à X.________ contre une rémunération de 20.000 francs. Il n'est pas douteux, dans ces conditions, que le comportement du recourant, qui a incontestablement agi en toute connaissance de cause, a été décisif, que, sans son intervention, Z.________ ne se serait pas résolu à procéder à l'échange litigieux, auquel il n'avait même pas songé. L'arrêt attaqué ne viole donc pas le droit fédéral en retenant que le recourant a tenté de décider, au sens de l' art. 24 CP , Z.________ à commettre un vol et, partant, qu'il s'est rendu coupable de tentative d'instigation à cette infraction.</w:t>
      </w:r>
    </w:p>
    <w:p>
      <w:r>
        <w:rPr>
          <w:b/>
        </w:rPr>
        <w:t>E. 3</w:t>
      </w:r>
    </w:p>
    <w:p>
      <w:r>
        <w:t>Le recourant se plaint de la peine qui lui a été infligée, plus précisément d'une inégalité de traitement entre cette peine et celle qui a été prononcée à l'encontre de son coaccusé. Faisant valoir que, selon l'arrêt attaqué, le comportement de X.________ a eu une influence déterminante sur la décision de Z.________ de procéder à l'échange, il en déduit que sa culpabilité est moindre que celle de son coaccusé et que l'on ne parvient dès lors pas à s'expliquer ce qui a conduit à prononcer une peine plus lourde à son encontre. a) Statuant sur appel d'un jugement rendu par le Tribunal de police, la Chambre pénale de la Cour de justice genevoise dispose d'un libre pouvoir d'examen et doit examiner le droit d'office (cf. art. 245 ss CPP /GE; SJ 1996 p. 341 consid. 2a). Le présent grief est donc recevable, quand bien même il apparaît n'avoir pas été invoqué en instance cantonale (cf. ATF 123 IV 42 consid. 2a p. 44; 122 IV 285 consid. 1c p. 287; 121 IV 340 con-sid. 1a p. 341). b) Une inégalité de traitement dans la fixation de la peine peut être examinée dans le cadre d'un pourvoi en nullité ( ATF 120 IV 136 consid. 3a; 116 IV 292 con-sid. 2).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116 IV 292 consid. 2). L'idée de ne pas créer un écart trop important entre deux coaccusés qui ont participé ensemble au même complexe de faits délictueux est assurément soutenable; une différence relativement importante entre les peines infligées à chacun d'eux ne viole toutefois le droit fédéral que si la motivation sur laquelle repose cette différence ne suffit pas à la justifier, de sorte que l'autorité cantonale doit se voir reprocher un abus de son pouvoir d'appréciation (cf. ATF 123 IV 150 consid. 2b p. 153 s.). c) Le passage figurant à la page 15 alinéa 3 de l'arrêt attaqué auquel se réfère le recourant pour soutenir que sa culpabilité serait moindre que celle de son coaccusé n'a pas la portée qu'il lui prête. Dans ce passage, la cour cantonale s'est prononcée sur le point de savoir si le coaccusé avait eu un rôle d'instigateur, ce qu'elle a admis en relevant que le comportement du coaccusé avait eu une "influence décisive" sur Z.________. Cela n'amoindrit nullement le rôle propre du recourant ni ne diminue l'importance de sa faute, laquelle a été considérée à juste titre comme plus lourde; c'est en effet du recourant qu'est venue l'idée d'un échange du CD-ROM contre une somme d'argent; c'est lui aussi qui s'est employé le plus activement à faire en sorte que cet échange puisse se réaliser, escomptant que l'avantage qu'il procurerait ainsi à son coaccusé lui permettrait ensuite de conclure avec ce dernier une affaire de pétrole. A cela s'ajoute que, contrairement à son coaccusé, qui a collaboré pleinement à l'enquête, le recourant est revenu plusieurs fois sur ses déclarations, allant même jusqu'à nier l'évidence. Ces éléments, qui sont pertinents pour fixer la peine, justifiaient le prononcé d'une sanction sensiblement plus élevée. L'écart entre les peines prononcées n'est au reste pas tel que l'autorité cantonale doive se voir reprocher un abus de son large pouvoir d'appréciation en ce domaine. On ne discerne donc pas d'inégalité de traitement dans la fixation de la peine. La peine a été arrêtée en tenant compte de la situation personnelle du recourant, de l'importance de sa faute, de son absence d'antécédents judiciaires et de ses mobiles ainsi que de son comportement durant la procédure. La motivation adoptée est certes succincte, mais suffisante pour comprendre ce qui a conduit à prononcer une peine de 3 mois d'emprisonnement assortie du sursis. La peine prononcée ne viole donc pas le droit fédéral.</w:t>
      </w:r>
    </w:p>
    <w:p>
      <w:r>
        <w:rPr>
          <w:b/>
        </w:rPr>
        <w:t>E. 4</w:t>
      </w:r>
    </w:p>
    <w:p>
      <w:r>
        <w:t>Le pourvoi doit ainsi être rejeté. La cause étant tranchée, la requête d'effet suspensif devient sans objet.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