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6S.504/2001 vom 29. November 2000</w:t>
      </w:r>
    </w:p>
    <w:p>
      <w:r>
        <w:t>Bundesgericht, 2000-11-29, FR</w:t>
      </w:r>
    </w:p>
    <w:p>
      <w:r>
        <w:rPr>
          <w:b/>
        </w:rPr>
        <w:t xml:space="preserve">Quelle: </w:t>
      </w:r>
      <w:r>
        <w:t>https://mcp.opencaselaw.ch/entscheid/bger_6S.504_2001</w:t>
      </w:r>
    </w:p>
    <w:p>
      <w:r>
        <w:t>FR: TF 6S.504/2001 du 29 novembre 2000</w:t>
      </w:r>
    </w:p>
    <w:p>
      <w:r>
        <w:t>IT: TF 6S.504/2001 del 29 novembre 2000</w:t>
      </w:r>
    </w:p>
    <w:p>
      <w:pPr>
        <w:pStyle w:val="Heading2"/>
      </w:pPr>
      <w:r>
        <w:t>Erwägungen</w:t>
      </w:r>
    </w:p>
    <w:p>
      <w:r>
        <w:rPr>
          <w:b/>
        </w:rPr>
        <w:t>E. 1</w:t>
      </w:r>
    </w:p>
    <w:p>
      <w:r>
        <w:t>Le pourvoi ne peut être formé que pour violation du droit fédéral et non pour violation directe d'un droit de rang constitutionnel ( art. 269 PPF [RS 312. 0]).</w:t>
      </w:r>
    </w:p>
    <w:p>
      <w:r>
        <w:t>La Cour de cassation n'est pas liée par les motifs invoqués, mais elle ne peut aller au-delà des conclusions du recourant ( art. 277bis PPF ). Les conclusions devant être interprétées à la lumière de leur motivation ( ATF 127 IV 101 consid. 1 p. 103), le recourant a circonscrit les points litigieux.</w:t>
      </w:r>
    </w:p>
    <w:p>
      <w:r>
        <w:t>Le pourvoi n'est pas ouvert pour se plaindre de l'appréciation des preuves et des constatations de fait qui en découlent ( ATF 124 IV 81 consid. 2a p. 83). Sous réserve de la rectification d'une inadvertance manifeste, la Cour de cassation est liée par les constatations de fait de l'autorité cantonale ( art. 277bis al. 1 PPF ).</w:t>
      </w:r>
    </w:p>
    <w:p>
      <w:r>
        <w:t>Il ne peut être présenté de griefs contre celles-ci, ni de faits ou de moyens de preuve nouveaux ( art. 273 al. 1 let. b PPF ). Dans la mesure où l'argumentation du recourant serait fondée sur des faits qui ne sont pas constatés dans le jugement attaqué, il n'est pas possible d'en tenir compte. Le raisonnement juridique doit donc être mené sur la base des faits retenus dans la décision attaquée, dont le recourant est irrecevable à s'écarter ( ATF 126 IV 65 consid. 1 p. 66/67 et les arrêts cités).</w:t>
      </w:r>
    </w:p>
    <w:p>
      <w:r>
        <w:t>Le mémoire de recours doit mentionner les motifs à l'appui des conclusions prises; il doit succinctement indiquer quelles sont les règles de droit fédéral violées et en quoi consiste cette violation ( art. 273 al. 1 let. b PPF ); un renvoi à d'autres écritures ou à des pièces du dossier n'est pas admissible ( ATF 123 IV 42 consid. 3a p. 46). Les griefs prohibés, notamment ceux fondés sur un autre état de fait que celui reproduit dans la décision attaquée, et les griefs dont la motivation ne correspond pas aux exigences légales, ne sont pas examinés ( ATF 123 IV 42 consid. 3a p. 46; 118 IV 293 consid. 2b p. 295; 106 IV 338 consid. 1 p. 340).</w:t>
      </w:r>
    </w:p>
    <w:p>
      <w:r>
        <w:rPr>
          <w:b/>
        </w:rPr>
        <w:t>E. 2</w:t>
      </w:r>
    </w:p>
    <w:p>
      <w:r>
        <w:t>Le recourant formule de nombreuses critiques à propos des constatations de fait cantonales et relate dans l'essentiel de son mémoire sa propre version des faits. Il fonde de la sorte sa motivation sur des faits qui divergent des constatations cantonales, ce qu'il n'est pas habilité à faire dans un pourvoi. Son argumentation est ainsi largement irrecevable (cf. supra, consid. 1). Eût-il voulu invoquer le caractère arbitraire de la constatation des faits et de l'appréciation des preuves qu'il devait procéder par la voie du recours de droit public.</w:t>
      </w:r>
    </w:p>
    <w:p>
      <w:r>
        <w:rPr>
          <w:b/>
        </w:rPr>
        <w:t>E. 3</w:t>
      </w:r>
    </w:p>
    <w:p>
      <w:r>
        <w:t>Le recourant conteste s'être rendu coupable de délit manqué d'escroquerie, en faisant valoir l'absence d'astuce.</w:t>
      </w:r>
    </w:p>
    <w:p>
      <w:r>
        <w:t>a) Sur le plan objectif, l'escroquerie réprimée par l' art. 146 CP suppose en particulier que l'auteur ait usé de tromperie et que celle-ci ait été astucieuse.</w:t>
      </w:r>
    </w:p>
    <w:p>
      <w:r>
        <w:t>L'astuce au sens de cette disposition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122 II 422 consid. 3a p. 426/427; 122 IV 246 consid. 3a p. 247/248 et les arrêts cités). Il y a notamment manoeuvre frauduleuse lorsque l'auteur fait usage de titres falsifiés ou obtenus sans droit ou de documents mensongers (arrêt 6S.370/1997 du 16 juillet 1997, reproduit in RVJ 1998 p. 180, consid. 3b; ATF 122 IV 197 consid. 3d p. 205; 116 IV 23 consid. 2c p. 25).</w:t>
      </w:r>
    </w:p>
    <w:p>
      <w:r>
        <w:t>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(arrêt 6S.740/1997 du 18 février 1998, reproduit in SJ 1998 p. 457, consid. 2; ATF 122 IV 246 consid. 3a p. 247/248). L'astuce n'est exclue que lorsque la dupe est coresponsable du dommage parce qu'elle n'a pas observé les mesures de prudence élémentaires qui s'imposaient ( ATF 126 IV 165 consid. 2a p. 171; 119 IV 28 consid. 3f p. 38).</w:t>
      </w:r>
    </w:p>
    <w:p>
      <w:r>
        <w:t>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w:t>
      </w:r>
    </w:p>
    <w:p>
      <w:r>
        <w:t>L'exploitation de semblables situations constitue précisément l'une des caractéristiques de l'astuce ( ATF 120 IV 186 consid. 1a p. 188).</w:t>
      </w:r>
    </w:p>
    <w:p>
      <w:r>
        <w:t>Le principe de coresponsabilité doit amener les victimes potentielles à faire preuve d'un minimum de prudence. Il s'agit d'une mesure de prévention du crime, la concrétisation d'un programme de politique criminelle (cf. Ursula Cassani, Der Begriff der arglistigen Täuschung als kriminalpolitische Herausforderung, in RPS 117/1999 p. 174). Le principe ne saurait dans cette mesure être utilisé pour nier trop aisément le caractère astucieux de la tromperie (arrêt 6S.438/1999 du 24 février 2000, reproduit in RVJ 2000 p. 310, consid. 3).</w:t>
      </w:r>
    </w:p>
    <w:p>
      <w:r>
        <w:t>b) Le délit manqué ( art. 22 al. 1 CP ) est une forme de tentative au sens large (cf. art. 21 ss CP ). Il y a tentative, au sens large, d'escroquerie lorsque l'auteur, agissant intentionnellement et dans un dessein d'enrichissement, a commencé l'exécution de cette infraction, manifestant ainsi sa décision de la commettre, même si les éléments objectifs font, en tout ou en partie, défaut.</w:t>
      </w:r>
    </w:p>
    <w:p>
      <w:r>
        <w:t>Conformément aux règles générales, l'intention doit porter sur l'ensemble des éléments constitutifs objectifs. A cet égard, ce qui est déterminant c'est que l'auteur a agi en se représentant (donc en acceptant) une situation dans laquelle ces éléments sont réalisés ( ATF 122 IV 246 consid. 3a p. 248).</w:t>
      </w:r>
    </w:p>
    <w:p>
      <w:r>
        <w:t>Une tentative punissable d'escroquerie n'est réalisée que si l'intention de l'auteur porte sur une tromperie astucieuse, donc sur un comportement qui apparaît objectivement astucieux. On ne saurait conclure que toute tromperie qui ne réussit pas est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(cf. Cassani, op. cit. , p. 164; cf. aussi ATF 122 IV 246 consid. 3c p. 249/250 où le résultat a été empêché par une connaissance anticipée de la victime par rapport à ce que supposait l'auteur).</w:t>
      </w:r>
    </w:p>
    <w:p>
      <w:r>
        <w:t>c) En l'espèce, le recourant a annoncé le même sinistre sous des dates différentes à deux compagnies d'assurances auxquelles il a présenté la même facture de garagiste, sachant que la seconde compagnie (la société Z.________) n'était en aucun cas tenue de couvrir le dommage. Il a procédé en plusieurs phases pour tromper la société Z.________, s'adressant d'abord oralement à elle, lui transmettant ensuite la facture du garage et, enfin, remplissant la déclaration de sinistre. Il a ainsi mis sur pied un stratagème par lequel il s'est appliqué à convaincre cette société de l'existence d'un cas d'assurance. Il est très difficile pour une assurance d'établir la fausseté des déclarations de son assuré, d'autant plus lorsque celui-ci est également, comme c'est le cas ici, son employé. Examiné de manière hypothétique, le plan adopté par le recourant doit objectivement être qualifié d'astucieux dès lors qu'il était propre à tromper la vigilance de la société Z.________, sans qu'on puisse imputer à celle-ci une quelconque coresponsabilité.</w:t>
      </w:r>
    </w:p>
    <w:p>
      <w:r>
        <w:t>La tromperie a finalement échoué. Selon les constatations cantonales, qui lient le Tribunal fédéral ( art. 277bis al. 1 PPF ), l'échec est dû au fait que le recourant a indiqué par mégarde sur la déclaration une date de sinistre antérieure à l'entrée en vigueur de l'assurance. En niant le caractère involontaire de son erreur, le recourant s'en prend aux faits retenus, ce qu'il n'est pas habilité à faire dans un pourvoi ( art. 273 al. 1 let. b PPF ). Quoi qu'il en soit, en signalant d'abord oralement à la société Z.________ le dommage puis en lui remettant ultérieurement la facture du garagiste, le recourant est, par ces deux premières phases, passé à l'exécution de la tromperie. Ces éléments suffisent en soi à retenir une tentative astucieuse de tromperie. Que le recourant se soit ensuite mépris en rédigeant la déclaration de sinistre, ce qui a permis à la société Z.________ de découvrir la tromperie, ne modifie pas cette qualification. C'est en effet à cause d'une erreur indépendante de la volonté du recourant, même si c'est lui qui l'a commise, que la société Z.________ a découvert la tromperie. Dans ces conditions, la Chambre d'appel n'a pas violé le droit fédéral en retenant une tentative de tromperie astucieuse et en appliquant en conséquence les art. 22 al. 1 et 146 al. 1 CP au cas du recourant. Le grief est infondé en tant qu'il est recevable.</w:t>
      </w:r>
    </w:p>
    <w:p>
      <w:r>
        <w:rPr>
          <w:b/>
        </w:rPr>
        <w:t>E. 4</w:t>
      </w:r>
    </w:p>
    <w:p>
      <w:r>
        <w:t>Le recourant semble encore contester la condition du dessein d'enrichissement illégitime prévue à l' art. 146 al. 1 CP .</w:t>
      </w:r>
    </w:p>
    <w:p>
      <w:r>
        <w:t>Le dessein est ce que l'auteur avait en vue; déterminer la volonté ou le dessein de l'auteur relève des constatations de fait, qui lient le Tribunal fédéral ( ATF 125 IV 49 consid. 2d p. 56 et les arrêts cités).</w:t>
      </w:r>
    </w:p>
    <w:p>
      <w:r>
        <w:t>En conséquence, est seul recevable le moyen tiré d'une interprétation ou d'une application erronée de la notion d'enrichissement illégitime. En l'espèce, il a été constaté que le recourant désirait que la société Z.________ couvre un dommage qu'elle n'était contractuellement pas tenue d'assumer et qu'il comptait, par sa tromperie, que cette société procède à un acte de disposition en sa faveur (cf.</w:t>
      </w:r>
    </w:p>
    <w:p>
      <w:r>
        <w:t>arrêt attaqué, p. 10). Au vu de tels faits, c'est sans violer le droit fédéral qu'un dessein d'enrichissement illégitime a été admis.</w:t>
      </w:r>
    </w:p>
    <w:p>
      <w:r>
        <w:rPr>
          <w:b/>
        </w:rPr>
        <w:t>E. 5</w:t>
      </w:r>
    </w:p>
    <w:p>
      <w:r>
        <w:t>Les frais de la cause doivent être mis à la charge du recourant, qui succombe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