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6S.484/2005 vom 16. Februar 2006</w:t>
      </w:r>
    </w:p>
    <w:p>
      <w:r>
        <w:t>Bundesgericht, 2006-02-16, DE</w:t>
      </w:r>
    </w:p>
    <w:p>
      <w:r>
        <w:rPr>
          <w:b/>
        </w:rPr>
        <w:t xml:space="preserve">Quelle: </w:t>
      </w:r>
      <w:r>
        <w:t>https://mcp.opencaselaw.ch/entscheid/bger_6S.484_2005</w:t>
      </w:r>
    </w:p>
    <w:p>
      <w:r>
        <w:t>FR: TF 6S.484/2005 du 16 février 2006</w:t>
      </w:r>
    </w:p>
    <w:p>
      <w:r>
        <w:t>IT: TF 6S.484/2005 del 16 febbraio 2006</w:t>
      </w:r>
    </w:p>
    <w:p>
      <w:pPr>
        <w:pStyle w:val="Heading2"/>
      </w:pPr>
      <w:r>
        <w:t>Regeste</w:t>
      </w:r>
    </w:p>
    <w:p>
      <w:r>
        <w:t>Strafzumessung (BemtG-Widerhandlung) | Strafrecht (allgemein)</w:t>
      </w:r>
    </w:p>
    <w:p>
      <w:pPr>
        <w:pStyle w:val="Heading2"/>
      </w:pPr>
      <w:r>
        <w:t>Erwägungen</w:t>
      </w:r>
    </w:p>
    <w:p>
      <w:r>
        <w:rPr>
          <w:b/>
        </w:rPr>
        <w:t>E. 1</w:t>
      </w:r>
    </w:p>
    <w:p>
      <w:r>
        <w:t>Der Beschwerdeführer verlangt neben der Aufhebung des angefochtenen Entscheids - wie schon im ersten Verfahren vor Bundesgericht - auch die Anweisung des Obergerichts, ihn mit 18 Monaten Gefängnis unter Gewährung des bedingten Strafvollzugs zu bestrafen. Dieser zweite Antrag ist unzulässig, da die Nichtigkeitsbeschwerde rein kassatorischer Natur ist ( Art. 277ter Abs. 1 BStP ).</w:t>
      </w:r>
    </w:p>
    <w:p>
      <w:r>
        <w:rPr>
          <w:b/>
        </w:rPr>
        <w:t>E. 2</w:t>
      </w:r>
    </w:p>
    <w:p>
      <w:r>
        <w:t>Der Beschwerdeführer wendet sich allein gegen die Strafzumessung. Die ausgesprochene Strafe von 2 Jahren Gefängnis sei bundesrechtswidrig. Es komme höchstens ein Strafmass in Betracht, das die Gewährung des bedingten Strafvollzugs noch zulasse. Seiner Ansicht nach hat die Vorinstanz die Tatschwere zu stark gewichtet und dem Umstand zu wenig Beachtung geschenkt, dass seine Straftaten eher im unteren Bereich des schweren Falles einzustufen seien. Ferner hätte die Vorinstanz stärker strafmindernd werten müssen, dass er nicht vorbestraft sei, die Taten bereits drei bis fünf Jahre zurücklägen, er im Tatzeitraum zwischen 23 und 25 Jahren alt und in seiner Persönlichkeit unreif gewesen sei, sich seither in eine psychiatrische Behandlung begeben habe, um seine persönlichen Defizite und den Drogenkonsum anzugehen, Reue und Einsicht gezeigt habe, einer festen Arbeit nachgehe und der Strafvollzug ihn aus seiner positiven Entwicklung herausreissen würde.</w:t>
      </w:r>
    </w:p>
    <w:p>
      <w:r>
        <w:rPr>
          <w:b/>
        </w:rPr>
        <w:t>E. 2.1</w:t>
      </w:r>
    </w:p>
    <w:p>
      <w:r>
        <w:t>Nach Art. 63 StGB misst der Richter die Strafe nach dem Verschulden des Täters zu. Er berücksichtigt die Beweggründe, das Vorleben und die persönlichen Verhältnisse des Schuldigen. Die Schwere des Verschuldens bildet das zentrale Kriterium bei der Zumessung der Strafe. Bei deren Bestimmung hat der Richter die Umstände der Tat (sog. Tatkomponente) zu beachten, also das Ausmass des verschuldeten Erfolgs, die Art und Weise der Herbeiführung dieses Erfolgs, die Willensrichtung, mit welcher der Täter gehandelt hat, und die Beweggründe des Schuldigen. Je leichter es für ihn gewesen wäre, das Gesetz zu respektieren, desto schwerer wiegt dessen Missachtung und damit das Verschulden. Neben diesen auf die Tat bezogenen Faktoren sind auch täterbezogene Elemente (sog. Täterkomponente) zu berücksichtigen, so das Vorleben, die persönlichen Verhältnisse des Täters, weiter aber auch sein Verhalten nach der Tat und im Strafverfahren, allenfalls gezeigte Reue und Einsicht sowie die Strafempfindlichkeit ( BGE 129 IV 6 E. 6.1 S. 20; 127 IV 101 E. 2a S. 103; 117 IV 112 E. 1 S. 113 f.). Dem Sachrichter steht bei der Gewichtung der genannten Strafzumessungskomponenten ein erheblicher Spielraum des Ermessens zu. Das Bundesgericht greift in diesen im Rahmen der Nichtigkeitsbeschwerde, mit der ausschliesslich eine Rechtsverletzung geltend gemacht werden kann, nur ein, wenn der kantonale Richter den gesetzlichen Strafrahmen über- oder unterschritten hat, wenn er von rechtlich nicht massgebenden Gesichtspunkten ausgegangen ist oder wenn er umgekehrt wesentliche Faktoren ausser Acht gelassen hat und schliesslich, wenn er solche Elemente in Überschreitung oder Missbrauch seines Ermessens falsch gewichtet hat ( BGE 129 IV 6 E. 6.1 S. 21; 124 IV 286 E. 4a S. 295).</w:t>
      </w:r>
    </w:p>
    <w:p>
      <w:r>
        <w:rPr>
          <w:b/>
        </w:rPr>
        <w:t>E. 2.2</w:t>
      </w:r>
    </w:p>
    <w:p>
      <w:r>
        <w:t>Die Vorinstanz hat die Tatschwere zutreffend als schwer beurteilt. Von einer zu starken Gewichtung der Drogenmenge kann keine Rede sein. Die Strafzumessung ist insgesamt nachvollziehbar begründet. Die Vorinstanz hat alle wesentlichen Strafzumessungsfaktoren berücksichtigt und in nicht zu beanstandender Weise gewichtet. Die im Umfang von 6 Monaten strafmindernde Berücksichtigung des Wohlverhaltens seit den Taten, der vom Beschwerdeführer selbst initiierten psychiatrischen Behandlung, seiner persönlichen Festigung und beruflichen Integration, sowie seiner faktisch zum Ausdruck gebrachten Einsicht und (späten) Reue ist bundesrechtlich nicht zu beanstanden. Die ausgesprochene Strafe von zwei Jahren Gefängnis liegt im unteren Bereich des konkreten Strafrahmens. Sie ist unter Berücksichtigung aller massgebenden Gesichtspunkte nicht unhaltbar hart. Eine Verletzung von Bundesrecht liegt nicht vor. Da eine Freiheitsstrafe, die wie hier 21 Monate übersteigt, nicht mehr an der Grenze von 18 Monaten für die Gewährung des bedingten Strafvollzugs liegt ( BGE 127 IV 97 E. 3), hatte die Vorinstanz keinen Anlass, sich zur Frage des bedingten Strafvollzugs gemäss Art. 41 Ziff.1 StGB auszusprechen. Die Vorinstanz hat die Folgen einer unbedingten Strafe für den Beschwerdeführer bereits bei der Strafminderung angemessen berücksichtigt.</w:t>
      </w:r>
    </w:p>
    <w:p>
      <w:r>
        <w:rPr>
          <w:b/>
        </w:rPr>
        <w:t>E. 3</w:t>
      </w:r>
    </w:p>
    <w:p>
      <w:r>
        <w:t>Nach dem Gesagten ist die Beschwerde abzuweisen, soweit darauf einzutreten ist. Bei diesem Ausgang des Verfahrens trägt der Beschwerdeführer dessen Kosten ( Art. 278 Abs. 1 BStP ). Mit dem Entscheid in der Sache ist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