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6S.47/2007 vom 8. Februar 2007</w:t>
      </w:r>
    </w:p>
    <w:p>
      <w:r>
        <w:t>Bundesgericht, 2007-02-08, DE</w:t>
      </w:r>
    </w:p>
    <w:p>
      <w:r>
        <w:rPr>
          <w:b/>
        </w:rPr>
        <w:t xml:space="preserve">Quelle: </w:t>
      </w:r>
      <w:r>
        <w:t>https://mcp.opencaselaw.ch/entscheid/bger_6S.47_2007</w:t>
      </w:r>
    </w:p>
    <w:p>
      <w:r>
        <w:t>FR: TF 6S.47/2007 du 8 février 2007</w:t>
      </w:r>
    </w:p>
    <w:p>
      <w:r>
        <w:t>IT: TF 6S.47/2007 del 8 febbraio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Obergericht des Kantons Bern erkannte mit Urteil vom 7. Dezember 2006, die mit Strafmandat des Untersuchungsrichters 5 des Untersuchungsrichteramtes III Bern-Mittelland vom 7. März 2005 gegenüber X.________ ausgefällte Busse von 40 Franken werde in einen Tag Haft umgewandet.</w:t>
      </w:r>
    </w:p>
    <w:p>
      <w:r>
        <w:t>X.________ erhebt eidgenössische Nichtigkeitsbeschwerde und beantragt sinngemäss, das Urteil des Obergerichts sei aufzuheben.</w:t>
      </w:r>
    </w:p>
    <w:p>
      <w:r>
        <w:rPr>
          <w:b/>
        </w:rPr>
        <w:t>E. 2</w:t>
      </w:r>
    </w:p>
    <w:p>
      <w:r>
        <w:t>In Anwendung von Art. 36a Abs. 3 OG kann auf die Ausführungen der Vorinstanz verwiesen werden (vgl. angefochtenen Entscheid S. 3 - 6). Da der Beschwerdeführer die vorinstanzlichen Richter als dubiose Schreiberlinge bezeichnet, die einen obervollidiotischen Leerlauf und Seich zusammengeschrieben haben, könnte die Eingabe in Anwendung von Art. 30 Abs. 3 OG zur Änderung an den Beschwerdeführer zurückgewiesen werden. Darauf ist indessen zu verzichten, weil ohnehin nicht ersichtlich ist, inwieweit der angefochtene Entscheid das eidgenössische Recht im Sinne von Art. 269 Abs. 1 BStP verletzen könnte.</w:t>
      </w:r>
    </w:p>
    <w:p>
      <w:r>
        <w:rPr>
          <w:b/>
        </w:rPr>
        <w:t>E. 3</w:t>
      </w:r>
    </w:p>
    <w:p>
      <w:r>
        <w:t>Bei diesem Ausgang des Verfahrens hat der Beschwerdeführer die bundesgerichtlichen Kosten zu tragen ( Art. 278 Abs. 1 BStP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