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6S.47/1999 vom 5. September 2000</w:t>
      </w:r>
    </w:p>
    <w:p>
      <w:r>
        <w:t>Bundesgericht, 2000-09-05, DE</w:t>
      </w:r>
    </w:p>
    <w:p>
      <w:r>
        <w:rPr>
          <w:b/>
        </w:rPr>
        <w:t xml:space="preserve">Quelle: </w:t>
      </w:r>
      <w:r>
        <w:t>https://mcp.opencaselaw.ch/entscheid/bger_6S.47_1999</w:t>
      </w:r>
    </w:p>
    <w:p>
      <w:r>
        <w:t>FR: TF 6S.47/1999 du 5 septembre 2000</w:t>
      </w:r>
    </w:p>
    <w:p>
      <w:r>
        <w:t>IT: TF 6S.47/1999 del 5 settembre 2000</w:t>
      </w:r>
    </w:p>
    <w:p>
      <w:pPr>
        <w:pStyle w:val="Heading2"/>
      </w:pPr>
      <w:r>
        <w:t>Erwägungen</w:t>
      </w:r>
    </w:p>
    <w:p>
      <w:r>
        <w:rPr>
          <w:b/>
        </w:rPr>
        <w:t>E. 1</w:t>
      </w:r>
    </w:p>
    <w:p>
      <w:r>
        <w:t>Gemäss Art. 139 Ziff. 1 StGB macht sich des Diebstahls schuldig, wer jemandem eine fremde bewegliche Sache zur Aneignung wegnimmt, um sich oder einen andern damit unrechtmässig zu bereichern.</w:t>
      </w:r>
    </w:p>
    <w:p>
      <w:r>
        <w:t>a) Fremd ist eine Sache, die nicht allein im Eigentum des Täters steht. Wegnahme ist Bruch fremden und Begründung neuen (meist eigenen) Gewahrsams. Dieser besteht in der tatsächlichen Sachherrschaft, verbunden mit dem Willen, sie auszuüben. Ob Gewahrsam gegeben ist, bestimmt sich nach den allgemeinen Anschauungen und den Regeln des sozialen Lebens ( BGE 115 IV 104 E. 1c/aa S. 106, mit Hinweisen). Bruch des Gewahrsams ist die Aufhebung des fremden Gewahrsams gegen den Willen des bisherigen Inhabers.</w:t>
      </w:r>
    </w:p>
    <w:p>
      <w:r>
        <w:t>b) Bei der tatsächlich gegebenen Sachlage stand das Geld im Eigentum und im (gelockerten) Gewahrsam des Staates, dessen Beamte es an der fraglichen Stelle, unter einem Aussenbalken eines Gebäudes (siehe UA act. 22/1), deponiert hatten. Zwar sollte der Beschwerdeführer das Notenbündel an sich nehmen, doch nur zu dem Zweck, es bei seiner Dienststelle abzuliefern. Die Beamten, die den Beschwerdeführer auf die Probe stellten, waren nicht damit einverstanden, dass dieser den Gewahrsam des Staates aufhebe, mithin den fremden Gewahrsambreche. Der Beschwerdeführer war in soweit lediglich Gewahrsamsdiener.</w:t>
      </w:r>
    </w:p>
    <w:p>
      <w:r>
        <w:t>Bei der Sachlage, die der Beschwerdeführer sich vorstellte, stand das Geld im Eigentum der Person, die es durch den Verkauf von Betäubungsmitteln erlangt, und im (gelockerten) Gewahrsam desjenigen, welcher es an der fraglichen Stelle versteckt hatte.</w:t>
      </w:r>
    </w:p>
    <w:p>
      <w:r>
        <w:t>c) Der Beschwerdeführer nahm das Notenbündel an sich und steckte es zunächst in die äussere Beintasche seines Anzugs. Damit hat er sowohl bei der tatsächlichen wie bei der vermeintlichen Sachlage den Gewahrsam des bisherigen Inhabers gegen dessen Willen aufgehoben und neuen, eigenen Gewahrsam begründet, mithin eine fremde bewegliche Sache weggenommen.</w:t>
      </w:r>
    </w:p>
    <w:p>
      <w:r>
        <w:t>d) Aus den verbindlichen tatsächlichen Feststellungen der Vorinstanz ergibt sich, dass der Beschwerdeführer bereits in dem Augenblick, als er das Notenbündel in die äussere Beintasche seines Anzugs steckte, die Absicht hatte, das Geld zu behalten und später für eigene Zwecke zu verwenden (siehe angefochtenes Urteil S. 21). Er hat die fremde Sache somit in Aneignungs- und in Bereicherungsabsicht weggenommen.</w:t>
      </w:r>
    </w:p>
    <w:p>
      <w:r>
        <w:t>e) Der Beschwerdeführer hat demnach sowohl bei der tatsächlich gegebenen wie auch bei der von ihm irrtümlich angenommenen Sachlage den Tatbestand des Diebstahls im Sinne von Art. 139 Ziff. 1 StGB erfüllt. Sein Irrtum betrifft insoweit lediglich die Identität des Eigentümers und des Gewahrsamsinhabers. Ein solcher Irrtum ist rechtlich unerheblich.</w:t>
      </w:r>
    </w:p>
    <w:p>
      <w:r>
        <w:rPr>
          <w:b/>
        </w:rPr>
        <w:t>E. 2</w:t>
      </w:r>
    </w:p>
    <w:p>
      <w:r>
        <w:t>Was der Beschwerdeführer gegen seine Verurteilung wegen Diebstahls vorbringt, ist unbegründet.</w:t>
      </w:r>
    </w:p>
    <w:p>
      <w:r>
        <w:t>a) Sowohl nach der vermeintlich wie auch nach der tatsächlich gegebenen Sachlage befanden sich die Banknoten, die der Beschwerdeführer vorfand, im Gewahrsam eines Dritten, nämlich im Gewahrsam des vermeintlichen Betäubungsmittelhändlers beziehungsweise im Gewahrsam des Staates, dessen Beamte das Notenbündel dort deponiert hatten. Wer eine Sache an einem bestimmten Ort versteckt, behält daran, jedenfalls wenn er jederzeit ohne weiteres darauf zugreifen kann, nach den Regeln des sozialen Lebens die Sachherrschaft und hat somit Gewahrsam. Es besteht kein Grund, in solchen Fällen den Gewahrsam des Dritten und damit die Möglichkeit eines Gewahrsamsbruchs deshalb zu verneinen, weil nach dem neuen Recht eine Verurteilung wegen unrechtmässiger Aneignung gemäss Art. 137 Ziff. 1 StGB , die keine Wegnahme voraussetzt, möglich bliebe.</w:t>
      </w:r>
    </w:p>
    <w:p>
      <w:r>
        <w:t>b) Bei der vermeintlich gegebenen Sachlage war der Beschwerdeführer auf Grund seiner Amtspflicht berechtigt, ja verpflichtet, das Notenbündel an sich zu nehmen. Rechtmässig war der Bruch des fremden Gewahrsams des vermeintlichen Betäubungsmittelhändlers aber nur unter der Voraussetzung, dass der Beschwerdeführer die Banknoten pflichtgemäss seiner Dienststelle ablieferte. Diese Voraussetzung ist nicht erfüllt. Der Beschwerdeführer hat daher das Geld dem vermeintlichen Betäubungsmittelhändler tatbestandsmässig und rechtswidrig weggenommen.</w:t>
      </w:r>
    </w:p>
    <w:p>
      <w:r>
        <w:t>c) Unerheblich ist, dass der Beschwerdeführer das Geld nicht zählte und es nicht mit eigenem Geld vermischte. Nach den verbindlichen Feststellungen der Vorinstanz wollte er das Geld behalten und für sich verwenden.</w:t>
      </w:r>
    </w:p>
    <w:p>
      <w:r>
        <w:t>d) Der Beschwerdeführer meint, seine irrige Annahme, das von ihm vorgefundene Geld sei von einem Betäubungsmittelhändler dort versteckt worden, während es in Tat und Wahrheit von Beamten der Kantonspolizei dort deponiert worden sei, sei ein "umgekehrter" Tatbestandsirrtum. Wenn die Vorinstanz ihm unter Hinweis auf Art. 19 Abs. 1 StGB vorhalte, er sei allein nach den Vorstellungen zu beurteilen, die er sich gemacht habe, so hätte sie prüfen müssen, "inwiefern die nicht vollendete Aneignung als Versuch gemäss Art. 21 StGB milder zu bestrafen wäre" (Nichtigkeitsbeschwerde S. 7). Der Einwand geht an der Sache vorbei. Der Beschwerdeführer hat nicht irrtümlich das Vorliegen von tatbestandsrelevanten Tatsachen angenommen, welcher Irrtum ein so genannter "umgekehrter" Sachverhaltsirrtum wäre mit der Folge, dass die Handlung als (untauglicher) Versuch des fraglichen Delikts zu qualifizieren wäre (siehe dazu Stratenwerth, Schweizerisches Strafrecht, Allg. Teil I, 2. Aufl. 1996, § 9 N 77 ; Trechsel, Kurzkommentar, 2. Aufl. 1997, Art. 19 N 11 ). Sowohl bei der vermeintlich wie bei der tatsächlich gegebenen Sachlage hat der Beschwerdeführer den Tatbestand des Diebstahls im Sinne von Art. 139 Ziff. 1 StGB erfüllt. Sein Irrtum betrifft lediglich die Identität des Eigentümers und des Gewahrsamsinhabers, und ein solcher Irrtum ist rechtlich unerheblich.</w:t>
      </w:r>
    </w:p>
    <w:p>
      <w:r>
        <w:rPr>
          <w:b/>
        </w:rPr>
        <w:t>E. 3</w:t>
      </w:r>
    </w:p>
    <w:p>
      <w:r>
        <w:t>Da die eidgenössische Nichtigkeitsbeschwerde somit abzuweisen ist, soweit darauf eingetreten werden kann,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