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6S.470/2002 vom 5. Mai 2003</w:t>
      </w:r>
    </w:p>
    <w:p>
      <w:r>
        <w:t>Bundesgericht, 2003-05-05, FR</w:t>
      </w:r>
    </w:p>
    <w:p>
      <w:r>
        <w:rPr>
          <w:b/>
        </w:rPr>
        <w:t xml:space="preserve">Quelle: </w:t>
      </w:r>
      <w:r>
        <w:t>https://mcp.opencaselaw.ch/entscheid/bger_6S.470_2002</w:t>
      </w:r>
    </w:p>
    <w:p>
      <w:r>
        <w:t>FR: TF 6S.470/2002 du 5 mai 2003</w:t>
      </w:r>
    </w:p>
    <w:p>
      <w:r>
        <w:t>IT: TF 6S.470/2002 del 5 maggio 2003</w:t>
      </w:r>
    </w:p>
    <w:p>
      <w:pPr>
        <w:pStyle w:val="Heading2"/>
      </w:pPr>
      <w:r>
        <w:t>Regeste</w:t>
      </w:r>
    </w:p>
    <w:p>
      <w:r>
        <w:t>Droit pénal (en général)</w:t>
      </w:r>
    </w:p>
    <w:p>
      <w:pPr>
        <w:pStyle w:val="Heading2"/>
      </w:pPr>
      <w:r>
        <w:t>Erwägungen</w:t>
      </w:r>
    </w:p>
    <w:p>
      <w:r>
        <w:rPr>
          <w:b/>
        </w:rPr>
        <w:t>E. 1</w:t>
      </w:r>
    </w:p>
    <w:p>
      <w:r>
        <w:t>Le Tribunal fédéral examine d'office et librement la recevabilité des recours qui lui sont soumis ( ATF 126 IV 107 consid. 1 p. 109).</w:t>
      </w:r>
    </w:p>
    <w:p>
      <w:r>
        <w:rPr>
          <w:b/>
        </w:rPr>
        <w:t>E. 1.1</w:t>
      </w:r>
    </w:p>
    <w:p>
      <w:r>
        <w:t>Le pourvoi en nullité est ouvert, à l'exclusion du recours en réforme pour se plaindre de la décision civile rendue dans le cadre de la procédure pénale, lorsque les conclusions civiles ont été jugées en même temps que l'action pénale ( art. 271 al. 1 PPF ; ATF 118 II 410 consid. 1 p. 412; ATF du 17 décembre 2002 dans la cause 6S.392/2002, consid. 2.1, destiné à la publication). Cette exigence suppose d'une part que les conclusions civiles aient été jugées et donc que la partie civile n'ait pas été renvoyée à agir devant le juge civil et d'autre part que les actions civile et pénale aient été jugées définitivement par la même autorité, autrement dit que la décision cantonale soit susceptible d'un pourvoi en nullité à la Cour de cassation du Tribunal fédéral en ce qui concerne tant l'action pénale que les conclusions civiles ( ATF 118 II 410 consid. 1 p. 412 et les références citées). Doivent ainsi être considérées comme ayant été jugées en même temps que l'action pénale les conclusions civiles qui ont fait l'objet d'un jugement portant exclusivement sur l'aspect civil à la suite d'un renvoi consécutif à l'admission d'un recours sur ce point, dès lors que la nouvelle décision vient en réalité remplacer le point du dispositif du premier arrêt, qui avait été annulé par l'instance de recours (Martin Schubarth, Nichtigkeitsbeschwerde 2001, p. 67 s. n. 252 et l'arrêt cité). Ce qui est déterminant est le fait que la question civile ait été tranchée par la même autorité (voir ATF 96 I 629 , consid. 1b, p. 633; Christian Ferber, Die eidgenössische Nichtigkeitsbeschwerde in Strafsachen, Zurich 1993, p.124), agissant en tant que juge pénal et non civil (voir ATF 118 II 410 consid. 1, p. 412, voir aussi Bernard Corboz, Le pourvoi en nullité interjeté par le lésé, SJ 1995, p. 158 s.). Dans ces circonstances, même si devant l'autorité cantonale déjà le recourant ne s'en est pris qu'au montant de l'indemnité qui lui a été allouée sur le plan civil, on doit admettre que la dernière instance cantonale a statué en même temps sur les aspects civil et pénal de la cause, ce dernier lui ayant été déféré par les recours du Ministère public et du condamné (voir également ATF du 17 décembre 2002 dans la cause 6S.392/2002, consid. 2.1, destiné à la publication). Le pourvoi est donc recevable au regard de l' art. 271 al. 1 PPF .</w:t>
      </w:r>
    </w:p>
    <w:p>
      <w:r>
        <w:rPr>
          <w:b/>
        </w:rPr>
        <w:t>E. 1.2</w:t>
      </w:r>
    </w:p>
    <w:p>
      <w:r>
        <w:t>Lorsque la Cour de cassation pénale n'est pas saisie en même temps de l'action pénale et qu'un recours en réforme sans égard à la valeur litigieuse n'est pas possible (voir art. 45 OJ ), le pourvoi sur l'action civile n'est recevable que pour autant que celle-ci atteigne la valeur litigieuse requise pour un recours en réforme ( art. 271 al. 2 PPF ), savoir 8'000 fr. ( art. 46 OJ ). La valeur litigieuse est déterminée en fonction des prétentions encore contestées devant la dernière instance cantonale. Comme dans le cadre d'un recours en réforme ( art. 55 al. 1 let. a OJ ), elle doit en principe être indiquée dans le pourvoi. L'omission de cette indication entraîne l'irrecevabilité du pourvoi, lorsque la valeur litigieuse ne peut être déterminée d'emblée et avec certitude sur la base de l'acte de recours, de la décision attaquée et des pièces du dossier (voir ATF 117 IV 270 consid. 3b p. 273). En l'espèce, les conclusions civiles litigieuses en instance cantonale dépassent largement la valeur minimale puisque le recourant, qui s'est vu attribuer 50'000 fr., en demandait 150'000.</w:t>
      </w:r>
    </w:p>
    <w:p>
      <w:r>
        <w:rPr>
          <w:b/>
        </w:rPr>
        <w:t>E. 1.3</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clairement circonscrit au montant de l'indemnité pour tort moral la question que le Tribunal fédéral peut examiner.</w:t>
      </w:r>
    </w:p>
    <w:p>
      <w:r>
        <w:rPr>
          <w:b/>
        </w:rPr>
        <w:t>E. 2</w:t>
      </w:r>
    </w:p>
    <w:p>
      <w:r>
        <w:t>Le recourant soutient que l'arrêt attaqué viole l' art. 47 CO dans la mesure où il admet que le montant de 50'000 fr. qui lui a été alloué à titre de réparation du tort moral ne relève pas d'une application arbitraire du droit fédéral.</w:t>
      </w:r>
    </w:p>
    <w:p>
      <w:r>
        <w:rPr>
          <w:b/>
        </w:rPr>
        <w:t>E. 2.1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(cf. ATF 125 III 269 consid. 2a p. 273; 118 II 410 consid. 2a p. 413 et les arrêts cités). 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(cf. ATF 125 III 269 consid. 2a p. 273; 123 III 10 consid. 4c/aa p. 12 s.; 118 II 410 consid. 2a p. 413 et les arrêts cités).</w:t>
      </w:r>
    </w:p>
    <w:p>
      <w:r>
        <w:rPr>
          <w:b/>
        </w:rPr>
        <w:t>E. 2.2</w:t>
      </w:r>
    </w:p>
    <w:p>
      <w:r>
        <w:t>En l'espèce, l'autorité cantonale relève que les séquelles dont souffre le recourant sont extrêmement graves, plusieurs centres cérébraux ayant été atteints, de sorte qu'un profond handicap demeure au point que le meilleur pronostic qui puisse être formulé est la fin de son long séjour en institution au bénéfice d'une plus grande autonomie dans le cadre d'un appartement protégé et, éventuellement, à terme, une petite activité occupationnelle, une intégration dans le monde du travail n'étant guère envisageable. Un examen des différents cas tranchés par la jurisprudence montre que des montants comparables à celui accordé au recourant ont en principe été alloués dans des cas où la victime a subi de graves lésions impliquant de longs traitements, laissant subsister de lourdes séquelles - telles que l'amputation d'un membre ou d'une partie de membre ou encore d'importantes cicatrices - et une certaine incapacité professionnelle mais ayant en principe permis une réintégration professionnelle, souvent après un changement d'activité. Des montants supérieurs, représentant, compte tenu de l'évolution du coût de la vie des sommes de l'ordre de 90'000 à 100'000 fr., ont été alloués dans des circonstances où la victime a subi des lésions tellement graves qu'elle se trouve dans l'incapacité d'exercer une quelconque activité professionnelle et qu'elle dépend socialement totalement de son entourage; il s'agit en principe de personnes devenues paraplégiques en raison des faits à l'origine de la procédure. Si le cas du recourant se distingue de celui des paraplégiques par le fait que, bien que considérablement limité dans ses mouvements, il ne se trouve pas dans l'impossibilité de se déplacer par ses propres moyens, il s'en rapproche par le fait qu'il se trouve très largement exclu de la vie tant sociale que professionnelle. Dans un cas où la victime, qui avait dû subir de nombreux traitements médicaux, n'était, malgré plusieurs tentatives de réinsertion professionnelle, plus en mesure de travailler et se trouvait, sur le plan social, totalement dépendante de son entourage, le Tribunal fédéral a admis que le montant de 100'000 francs alloué par l'autorité cantonale ne violait pas le droit fédéral (arrêt 4C.479/1994 du 21 août 1995). Dans le cas d'une employée de maison blessée à la tête par une arme à feu chargée qu'elle manipulait dans le cadre de travaux de nettoyage, qui, après avoir subi deux opérations, souffrait d'une cécité de longue durée de l'ordre de 80 % ainsi que d'une invalidité de 90 % sur le plan physique et totale sur le plan économique, le Tribunal fédéral a considéré, en 1986, qu'une indemnité de 20'000 fr. était insuffisante pour réparer le tort moral subi et a alloué un montant de 50'000 fr. ( ATF 112 II 138 consid. 5b p. 145). Eu égard aux éléments pertinents pour évaluer le tort moral subi ainsi qu'à ces précédents, la somme de 50'000 francs allouée au recourant par l'autorité cantonale à titre de réparation du tort moral ne prend pas suffisamment en considération l'ensemble des circonstances de l'espèce, notamment la gravité de la faute commise par l'intimé, de sorte qu'il y a lieu de réformer l'arrêt attaqué en ce sens que l'indemnité est portée à 75'000 francs, montant équitable et qui tient compte raisonnablement de l'atteinte subie par le recourant.</w:t>
      </w:r>
    </w:p>
    <w:p>
      <w:r>
        <w:rPr>
          <w:b/>
        </w:rPr>
        <w:t>E. 3</w:t>
      </w:r>
    </w:p>
    <w:p>
      <w:r>
        <w:t>Le recourant obtient partiellement gain de cause, de sorte qu'il y a lieu de considérer que la part des frais qui devrait être mise à sa charge est compensée par l'indemnité qui devrait lui être allouée; il n'y a dès lors pas lieu de percevoir de frais ni d'allouer d'indemnité au recourant ( art. 278 al. 1 et 3 PPF ). Il ne se justifie pas non plus d'allouer d'indemnité à l'intimé qui n'a fourni qu'une écriture succincte et succombe partiellement dans ses conclusions tendant au rejet du recours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