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6S.468/2006 vom 24. Januar 2007</w:t>
      </w:r>
    </w:p>
    <w:p>
      <w:r>
        <w:t>Bundesgericht, 2007-01-24, DE</w:t>
      </w:r>
    </w:p>
    <w:p>
      <w:r>
        <w:rPr>
          <w:b/>
        </w:rPr>
        <w:t xml:space="preserve">Quelle: </w:t>
      </w:r>
      <w:r>
        <w:t>https://mcp.opencaselaw.ch/entscheid/bger_6S.468_2006</w:t>
      </w:r>
    </w:p>
    <w:p>
      <w:r>
        <w:t>FR: TF 6S.468/2006 du 24 janvier 2007</w:t>
      </w:r>
    </w:p>
    <w:p>
      <w:r>
        <w:t>IT: TF 6S.468/2006 del 24 gennaio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2.1</w:t>
      </w:r>
    </w:p>
    <w:p>
      <w:r>
        <w:t>Im Zusammenhang mit der Verurteilung wegen Gewalt und Drohung gegen Behörden und Beamte wirft der Beschwerdeführer der Vorinstanz vor, diese habe zu Unrecht angenommen, er habe am Telefon einen ernstlichen Nachteil im Sinne von Art. 285 StGB bzw. Art. 180 StGB in Aussicht gestellt. Seine Äusserungen würden nicht ausreichen, um die erforderliche Schwere des Nachteils zu begründen.</w:t>
      </w:r>
    </w:p>
    <w:p>
      <w:r>
        <w:rPr>
          <w:b/>
        </w:rPr>
        <w:t>E. 2.2</w:t>
      </w:r>
    </w:p>
    <w:p>
      <w:r>
        <w:t>Gemäss Art. 285 Ziff. 1 StGB macht sich unter anderem strafbar, wer einen Beamten durch Drohung zu einer Amtshandlung nötigt. Die Drohung entspricht der Androhung ernstlicher Nachteile gemäss dem Tatbestand der Nötigung im Sinne von Art. 181 StGB (Stratenwerth, Schweizerisches Strafrecht, Besonderer Teil II, 5. Auflage, S. 286 N 20). Im Unterschied zu den Art. 181, 279 oder 280 StGB , bei denen als Tatmittel die Androhung ernstlicher Nachteile verlangt wird, oder zur Drohung gemäss Art. 180 StGB , die schwer sein muss, ist zwar in Art. 285 Ziff. 1 StGB bloss von Drohung die Rede. Wie aber schon Thormann/von Overbeck (Das Schweizerische Strafgesetzbuch, 2. Band, Zürich 1941, Art. 285 N 4 ) ausführten, ist bereits im Begriff der Drohung das Moment einer gewissen Ernstlichkeit, des Inaussichtsstellens eindrucksfähiger Nachteile, enthalten. Nach der Rechtsprechung zu Art. 181 StGB muss die Drohung schwer genug sein, um eine verständige Person in der Lage des Betroffenen gefügig zu machen ( BGE 107 IV 35 E. 3; Stratenwerth, a.a.O., S. 286 N 20; Trechsel, Schweizerisches Strafgesetzbuch, Kurzkommentar, 2. Auflage, Art. 285 N 4 ). Nicht jede Drohung genügt somit, sondern sie muss eine gewisse Intensität aufweisen, die von Fall zu Fall und nach objektiven Kriterien festzulegen ist.</w:t>
      </w:r>
    </w:p>
    <w:p>
      <w:r>
        <w:rPr>
          <w:b/>
        </w:rPr>
        <w:t>E. 2.3</w:t>
      </w:r>
    </w:p>
    <w:p>
      <w:r>
        <w:t>Entgegen der Auffassung des Beschwerdeführers hat die Vorinstanz kein Bundesrecht verletzt, wenn sie von einem angedrohten ernstlichen Nachteil ausgeht. Die Ankündigung, jemanden zusammenzuschlagen, stellt grundsätzlich eine ernsthafte Drohung dar, mit der jemand gefügig gemacht werden kann. Es kommt dazu, dass der Beschwerdeführer weitere entsprechende Äusserungen machte, indem er ankündigte, er werde persönlich vorbeikommen und es werde etwas passieren. Die Wirkung auf den Bedrohten zeigte sich denn auch, indem dieser grosse Angst bekam und beim Steueramt Vorsichtsmassnahmen getroffen wurden.</w:t>
      </w:r>
    </w:p>
    <w:p>
      <w:r>
        <w:rPr>
          <w:b/>
        </w:rPr>
        <w:t>E. 2.4</w:t>
      </w:r>
    </w:p>
    <w:p>
      <w:r>
        <w:t>Die Vorinstanz geht - zumindest stillschweigend - davon aus, dass die Betreibung gegen den Beschwerdeführer aufgrund seiner Drohung zurückgezogen wurde. Wenn der Beschwerdeführer heute geltend macht, der Rückzug sei aus andern Gründen erfolgt, so ist auf die Rüge nicht einzutreten. Denn im Rahmen der Nichtigkeitsbeschwerde sind Ausführungen, die sich gegen die tatsächlichen Feststellungen des angefochtenen Entscheides richten, und das Vorbringen neuer Tatsachen unzulässig ( Art. 273 Abs. 1 lit. b BStP ).</w:t>
      </w:r>
    </w:p>
    <w:p>
      <w:r>
        <w:rPr>
          <w:b/>
        </w:rPr>
        <w:t>E. 3.1</w:t>
      </w:r>
    </w:p>
    <w:p>
      <w:r>
        <w:t>Bei der Strafzumessung hat das Kreisgericht (auf dessen Erwägungen die Vorinstanz ausdrücklich verweist) unter anderem festgehalten, es müsse insgesamt von einem mittelschweren Verschulden ausgegangen werden. Dabei würden die Vorstrafen und der Rückfall stark ins Gewicht fallen. Unter Berücksichtigung der gesamten Umstände - einschliesslich der langen Verfahrensdauer, während welcher sich der Beschwerdeführer wohl verhalten habe - erscheine eine unbedingte Gefängnisstrafe von 6 Monaten als angemessen.</w:t>
      </w:r>
    </w:p>
    <w:p>
      <w:r>
        <w:rPr>
          <w:b/>
        </w:rPr>
        <w:t>E. 3.2</w:t>
      </w:r>
    </w:p>
    <w:p>
      <w:r>
        <w:t>Der Beschwerdeführer macht geltend, es sei nicht ersichtlich, in welchem Umfang die lange Verfahrensdauer verglichen mit andern Umständen gewichtet worden sei. Es würden insbesondere auch Angaben fehlen, wie die ausgesprochene Strafe im Quervergleich mit ähnlichen Fällen stehe. Hierüber würden beispielsweise die kantonalen Strafmassrichtlinien Aufschluss geben.</w:t>
      </w:r>
    </w:p>
    <w:p>
      <w:r>
        <w:rPr>
          <w:b/>
        </w:rPr>
        <w:t>E. 3.3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3.4</w:t>
      </w:r>
    </w:p>
    <w:p>
      <w:r>
        <w:t>Die Begründung der Strafe durch die kantonalen Instanzen ist bundesrechtlich vertretbar. Im Entscheid des Kreisgerichtes wird auf die lange Verfahrensdauer sowie auf den Umstand hingewiesen, dass sich der Beschwerdeführer während dieser Zeit wohl verhalten hat. Es kann keinem vernünftigen Zweifel unterliegen, dass beide Kriterien zu seinen Gunsten berücksichtigt wurden, auch wenn dies nicht ausdrücklich erwähnt wird. Wenngleich grundsätzlich erforderlich ist, dass sich das Sachgericht über den Umfang eines die Strafe beeinflussenden Umstandes auslässt, ist im vorliegenden Fall dessen blosse Erwähnung noch ausreichend. Angesichts des nicht mehr leichten Verschuldens des Beschwerdeführers liegt die ausgefällte Strafe innerhalb des erheblichen Ermessenspielsraumes, selbst wenn die übermässige Verfahrensdauer nicht bloss leicht strafmindernd angerechnet wird.</w:t>
      </w:r>
    </w:p>
    <w:p>
      <w:r>
        <w:rPr>
          <w:b/>
        </w:rPr>
        <w:t>E. 3.5</w:t>
      </w:r>
    </w:p>
    <w:p>
      <w:r>
        <w:t>Der Hinweis des Beschwerdeführers auf einen Entscheid des Kassationshofes vom 5. September 2006 vermag keine Bundesrechtswidrigkeit darzutun. Dort ging es um die Angemessenheit einer Busse, welche das Kantonsgericht gegenüber der ersten Instanz massiv erhöht hatte. Das Bundesgericht wies darauf hin, dass aus dem angefochtenen Entscheid nicht ersichtlich sei, wie die Vorinstanz die Busse bemessen habe. Insbesondere ergebe sich nicht, in welchem Umfang die lange Verfahrensdauer gewichtet worden sei. Es würden auch Angaben fehlen, wie die ausgesprochene Strafe im Quervergleich mit ähnlichen Fällen stehe, worüber beispielsweise die kantonalen Strafmassrichtlinien Aufschluss geben könnten. Der Kassationshof wies darauf hin, dass die mangelnde Begründung umso schwerer wiege, als die Vorinstanz deutlich über den Antrag der Staatsanwaltschaft hinausgegangen war, was mangels hinreichender Begründung nicht nachvollziehbar sei (Urteil des Kassationshofs 6S.275/2006 vom 5. September 2006, E. 5).</w:t>
      </w:r>
    </w:p>
    <w:p>
      <w:r>
        <w:t>Von einer solchen Auffälligkeit hinsichtlich der ausgefällten Strafe, welche nach einer eingehenderen Begründung verlangt hätte, kann im vorliegenden Fall keine Rede sein. Die angetönten Strafmassrichtlinien können im Interesse einer einheitlichen Praxis gerade bei Strassenverkehrsdelikten und namentlich bei der Bussenfestsetzung eine Rolle spielen. Bei den vorliegend zu beurteilenden Straftaten handelt es sich jedoch nicht um Massendelikte; vielmehr liegen ihnen regelmässig Sachverhalte zugrunde, die sich teils erheblich unterscheiden und damit auch nicht vergleichen oder gar schematisieren lassen. Die Rüge, die Vorinstanz habe keinen Quervergleich mit ähnlichen Fällen vorgenommen, ist deshalb unbehelflich.</w:t>
      </w:r>
    </w:p>
    <w:p>
      <w:r>
        <w:rPr>
          <w:b/>
        </w:rPr>
        <w:t>E. 3.6</w:t>
      </w:r>
    </w:p>
    <w:p>
      <w:r>
        <w:t>Der Beschwerdeführer wirft der Vorinstanz vor, sie habe bei der Strafzumessung nicht berücksichtigt, dass er möglicherweise im hängigen Zivilprozess mit seiner Schadenersatzklage auch ohne das gefälschte Abnahmeprotokoll, nämlich aufgrund der anderen offerierten Beweismittel, durchkomme. Falls dem Beschwerdeführer somit tatsächlich ein entsprechender Schadenersatz zustehe, wovon zu seinen Gunsten auszugehen sei, würde dies die Tat der Urkundenfälschung leichter erscheinen lassen.</w:t>
      </w:r>
    </w:p>
    <w:p>
      <w:r>
        <w:t>Selbst wenn sich der Beschwerdeführer mit seiner Urkundenfälschung nur einen unrechtmässigen Beweisvorteil im Zivilprozess verschaffen wollte, würde dies sein deliktisches Verhalten verschuldensmässig nicht beeinflussen. Die Tatbestände des Urkundenstrafrechts schützen das Vertrauen, welches im Rechtsverkehr einer Urkunde als einem Beweismittel entgegengebracht wird ( BGE 123 IV 61 E. 5a). Der Beschwerdeführer hat dieses Vertrauen mit seiner weitreichenden Fälschung einer wichtigen Urkunde erheblich missbraucht, weshalb von keinem leichten Verschulden auszugehen ist. Die ausgefällte, auch Gewalt und Drohung gegen Behörden und Beamte umfassende Strafe erweist sich deshalb in jedem Fall als angemessen.</w:t>
      </w:r>
    </w:p>
    <w:p>
      <w:r>
        <w:rPr>
          <w:b/>
        </w:rPr>
        <w:t>E. 4</w:t>
      </w:r>
    </w:p>
    <w:p>
      <w:r>
        <w:t>Aus diesen Erwägungen ist die Nichtigkeitsbeschwerde abzuweisen, soweit darauf einzutreten ist. Die Kosten des bundesgerichtlichen Verfahrens sind bei diesem Ausgang des Verfahrens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