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6S.463/2006 vom 3. Januar 2007</w:t>
      </w:r>
    </w:p>
    <w:p>
      <w:r>
        <w:t>Bundesgericht, 2007-01-03, DE</w:t>
      </w:r>
    </w:p>
    <w:p>
      <w:r>
        <w:rPr>
          <w:b/>
        </w:rPr>
        <w:t xml:space="preserve">Quelle: </w:t>
      </w:r>
      <w:r>
        <w:t>https://mcp.opencaselaw.ch/entscheid/bger_6S.463_2006</w:t>
      </w:r>
    </w:p>
    <w:p>
      <w:r>
        <w:t>FR: TF 6S.463/2006 du 3 janvier 2007</w:t>
      </w:r>
    </w:p>
    <w:p>
      <w:r>
        <w:t>IT: TF 6S.463/2006 del 3 gennaio 2007</w:t>
      </w:r>
    </w:p>
    <w:p>
      <w:pPr>
        <w:pStyle w:val="Heading2"/>
      </w:pPr>
      <w:r>
        <w:t>Regeste</w:t>
      </w:r>
    </w:p>
    <w:p>
      <w:r>
        <w:t>Strafzumessung | Strafrecht (allgemein)</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Rechtsmittel dagegen ist noch das bisherige Verfahrensrecht anwendbar ( Art. 132 Abs. 1 BGG , e contrario), hier somit dasjenige der eidgenössischen Nichtigkeitsbeschwerde nach Art. 268 ff. BStP . 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Urteils noch gegolten hat ( BGE 129 IV 49 E. 5.3 S. 51 f., mit Hinweisen).</w:t>
      </w:r>
    </w:p>
    <w:p>
      <w:r>
        <w:rPr>
          <w:b/>
        </w:rPr>
        <w:t>E. 2</w:t>
      </w:r>
    </w:p>
    <w:p>
      <w:r>
        <w:t>Die Vorinstanz stellt für den Kassationshof verbindlich fest, der Beschwerdeführer habe im Zeitraum von November 2002 bis Dezember 2004 in dem von ihm geführten Hanfshop in St. Gallen u.a. Drogenhanf mit einem THC-Gehalt zwischen 2% und 16% sowie Haschisch verkauft, wobei er einen Umsatz von rund Fr. 650'000.-- erzielt habe. Ausserdem habe er ca. 68 kg Marihuana umgesetzt, rund 2'700 Hanfsetzlinge verkauft und verschiedene Indoor-Hanfplantagen betrieben. Schliesslich habe er seine Angestellten dazu angestiftet, bei der Räumung eines Mietobjekts einen Elektroverteilerkasten im Wert von ca. Fr. 1'500.-- vom Elektrizitätsnetz abzuhängen und mitzunehmen (angefochtenes Urteil S. 3 f., 5).</w:t>
      </w:r>
    </w:p>
    <w:p>
      <w:r>
        <w:rPr>
          <w:b/>
        </w:rPr>
        <w:t>E. 3</w:t>
      </w:r>
    </w:p>
    <w:p>
      <w:r>
        <w:t>Der Beschwerdeführer wendet sich gegen die Strafzumessung. Er macht geltend, die Vorinstanz habe im Rahmen der Würdigung der Tatkomponenten nicht genügend in Rechnung gestellt, dass sich die Widerhandlungen gegen das Betäubungsmittelgesetz ausschliesslich auf den Wirkstoff Hanf bezogen hätten. Sie habe auch zu Unrecht nicht berücksichtigt, dass der Schuldspruch gegenüber dem erstinstanzlichen Urteil hinsichtlich des relevanten Umsatzes erheblich, nämlich von rund Fr. 850'000.-- auf rund Fr. 650'000.--, reduziert worden sei. In Bezug auf die Täterkomponente beanstandet er, die Vorinstanz habe ihm wie die erste Instanz lediglich ein Teilgeständnis zugebilligt, obwohl der Schuldspruch vor zweiter Instanz nunmehr vollumfänglich seinem Geständnis folge. Die Vorinstanz habe auch zu Unrecht sein Wohlverhalten seit dem erstinstanzlichen Urteil nicht hinreichend zu seinen Gunsten gewichtet. Indem sie wie die erste Instanz aufgrund des Nachtatverhaltens die Strafe lediglich um 3 Monate reduziert habe, ohne die relevanten Veränderungen seit jenem Urteil zu berücksichtigen, habe sie die Strafzumessungsregeln von Art. 63 StGB verletzt.</w:t>
      </w:r>
    </w:p>
    <w:p>
      <w:r>
        <w:rPr>
          <w:b/>
        </w:rPr>
        <w:t>E. 4</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Bei der Gewichtung der zu beachtenden Komponenten steht dem urteilenden Gericht ein erheblicher Spielraum des Ermessens zu, in welchen das Bundesgericht auf Nichtigkeitsbeschwerde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5</w:t>
      </w:r>
    </w:p>
    <w:p>
      <w:r>
        <w:t>Die Vorinstanz setzt sich in ihren einlässlichen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So trägt sie insbesondere dem Umstand angemessen Rechnung, dass der Beschwerdeführer lediglich mit Hanfkraut gehandelt hat, dem sie zu Recht ein eher geringes Sucht- und Gefährdungspotential zuschreibt. Doch ist die Droge Cannabis nach der Rechtsprechung, auch wenn die Gefahren, die von ihrem Konsum für die menschliche Gesundheit ausgehen, vergleichsweise gering sind, dennoch nicht unbedenklich ( BGE 117 IV 314 E. 2g/aa S. 322). Ausserdem berücksichtigt die Vorinstanz in diesem Zusammenhang auch, dass der Beschwerdeführer Cannabis-Produkte auch an Jugendliche verkaufte und verschiedene Indoor-Plantagen zur Aufzucht von Hanfsamen und -stecklingen betrieb. Dass bei Betäubungsmitteldelikten mit Hanfkraut die Festsetzung einer Einsatzstrafe auf ein Strafmass, das die Gewährung des bedingten Strafvollzuges nach Art. 41 Ziff. 1 StGB ausschliesse, von vornherein unhaltbar sei, wie der Beschwerdeführer vorbringt (Beschwerde S. 3), lässt sich jedenfalls nicht sagen, zumal der Kassationshof die in einem vergleichbaren Fall ausgesprochene Freiheitsstrafe von 18 Monaten bedingt als sehr mild bezeichnet und nur unter Berücksichtigung des Umstands, dass gleichzeitig eine bedingt ausgesprochene Vorstrafe von 14 Monaten Gefängnis als vollstreckbar erklärt worden war, als noch im Rahmen des weiten Ermessens erachtet hatte (angefochtenes Urteil S. 8 mit Hinweis auf Urteil des Kassationshofs 6S.231/2005 vom 21.9.2005 E. 2.5). Zutreffend nimmt die Vorinstanz sodann in Bezug auf die Höhe des mit dem Betäubungsmittelhandel erzielten Umsatzes an, der genauen Menge der gehandelten Drogen und der Höhe der dabei umgesetzten Beträge komme eine geringere Bedeutung zu, wenn die Grenze zur qualifizierten Widerhandlung gegen das Betäubungsmittelgesetz weit überschritten sei (angefochtenes Urteil S. 5; vgl. auch Hans Wiprächtiger, Basler Kommentar, Strafgesetzbuch I, N 53 zu Art. 63 StGB mit Hinweisen). Dies entspricht der Rechtsprechung, nach welcher der Betäubungsmittelmenge und dem damit erzielten Umsatz und Erlös bei der Strafzumessung kein vorrangiges Gewicht zukommt, sondern in erster Linie das Verschulden massgebend ist, welches wesentlich auch davon abhängt, in welcher Funktion der Täter am Betäubungsmittelhandel mitgewirkt hat (BGE 118 342 E. 2c; 121 IV 202 E. 2d/cc). Dass die Grenze für die Annahme von gewerbsmässigem Handeln im Sinne von Art. 19 Ziff. 2 lit. c BetmG bei einem Umsatz von Fr. 650'000.-- bei weitem überschritten ist (vgl. BGE 129 IV 188 E. 3.1.3), steht ausser Frage. Dass die Vorinstanz der Annahme eines um rund Fr. 200'000.-- geringeren Umsatzes angesichts der verhältnismässig langen Dauer und der hohen Intensität der strafbaren Tätigkeit keine ausschlaggebende Bedeutung beimisst und das Verschulden des Beschwerdeführers nicht als wesentlich geringer einstuft, bedeutet jedenfalls keine Ermessensverletzung. Im Übrigen fallen hier auch die von der Vorinstanz zu Recht zu Ungunsten des Beschwerdeführers gewürdigten Beweggründe, die weitgehend in der Erzielung eines maximalen Gewinns und der persönlichen Bereicherung bestanden, und die erhebliche Uneinsichtigkeit ins Gewicht, die sich darin manifestierte, dass der Beschwerdeführer während des ganzen Verfahrens seinen Laden trotz gegeteiliger Beteuerungen weiterführte und immer wieder neue Plantagen einrichtete (angefochtenes Urteil S. 7). Keine Verletzung von Bundesrecht liegt schliesslich darin, dass die Vorinstanz nur von einem teilweisen Geständnis des Beschwerdeführers ausgeht, welches keine erhebliche Strafreduktion nach sich zieht (angefochtenes Urteil S. 9). Es trägt damit dem Umstand Rechnung, dass sich der Beschwerdeführer im Untersuchungsverfahren weder einsichtig noch kooperativ gezeigt hat. Dass der Schuldspruch vor zweiter Instanz nunmehr in vollem Umfang dem Geständnis des Beschwerdeführers folgt (Beschwerde S. 4), ändert daran nichts, da ein Geständnis nur in erheblichem Masse zugunsten des Täters berücksichtigt werden kann, wenn der Täter von sich aus Straftaten eingesteht, die ihm sonst nicht hätten nachgewiesen werden können, und das daher deutlich auf Einsicht in das begangene Unrecht oder auf Reue schliessen lässt (vgl. hiezu BGE 121 IV 202 E. 2d/cc). Immerhin attestiert ihm die Vorinstanz für das Berufungsverfahren eine gewisse Einsicht und Reue, die sie zusammen mit seinem Wohlverhalten seit der Entlassung aus der Untersuchungshaft ebenso strafmindernd wertet, wie seine Bestrebungen um Schuldensanierung und die Bemühung um Integration in die Arbeitswelt. Dass sie noch keine Bewährung in beruflicher Hinsicht annimmt, ist angesichts des Umstands, dass der Beschwerdeführer seine Arbeitsstelle erst rund eineinhalb Monate vor der Berufungsverhandlung angetreten und an der vorherigen Stelle nur während drei Monaten gearbeitet hatte (angefochtenes Urteil S. 9), nicht zu beanstanden. Damit werden die Probleme des Beschwerdeführers, angesichts der schwierigen Arbeitsmarktlage in der Arbeitswelt Fuss zu fassen, nicht verkannt (Beschwerde S. 5), doch verletzt die Vorinstanz kein Bundesrecht, wenn sie über die Anerkennung seines Wohlverhaltens seit der Tat und seine Bemühungen um Wiedereingliederung in die Arbeitswelt hinaus nicht auch eine eigentliche berufliche Bewährung bescheinigt. Insgesamt sind die Erwägungen der Vorinstanz plausibel und leuchten die daraus gezogenen Schlüsse ein. Jedenfalls erscheint die Strafe nicht als ausgesprochen streng. Die Vorinstanz hat somit ihr Ermessen in der Strafzumessung nicht überschritten.</w:t>
      </w:r>
    </w:p>
    <w:p>
      <w:r>
        <w:rPr>
          <w:b/>
        </w:rPr>
        <w:t>E. 6</w:t>
      </w:r>
    </w:p>
    <w:p>
      <w:r>
        <w:t>Aus diesen Gründen ist die Beschwerde abzuweisen.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