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6S.457/2005 vom 14. März 2006</w:t>
      </w:r>
    </w:p>
    <w:p>
      <w:r>
        <w:t>Bundesgericht, 2006-03-14, DE</w:t>
      </w:r>
    </w:p>
    <w:p>
      <w:r>
        <w:rPr>
          <w:b/>
        </w:rPr>
        <w:t xml:space="preserve">Quelle: </w:t>
      </w:r>
      <w:r>
        <w:t>https://mcp.opencaselaw.ch/entscheid/bger_6S.457_2005</w:t>
      </w:r>
    </w:p>
    <w:p>
      <w:r>
        <w:t>FR: TF 6S.457/2005 du 14 mars 2006</w:t>
      </w:r>
    </w:p>
    <w:p>
      <w:r>
        <w:t>IT: TF 6S.457/2005 del 14 marzo 2006</w:t>
      </w:r>
    </w:p>
    <w:p>
      <w:pPr>
        <w:pStyle w:val="Heading2"/>
      </w:pPr>
      <w:r>
        <w:t>Erwägungen</w:t>
      </w:r>
    </w:p>
    <w:p>
      <w:r>
        <w:rPr>
          <w:b/>
        </w:rPr>
        <w:t>E. 1.1</w:t>
      </w:r>
    </w:p>
    <w:p>
      <w:r>
        <w:t>Gegen die Entscheide der Strafkammer des Bundesstrafgerichts in Bellinzona, das erstinstanzlich Straffälle beurteilt, die das Gesetz der Gerichtsbarkeit des Bundes zuweist ( Art. 191a Abs. 1 BV ; Art. 1 Abs. 1 Bundesgesetz über das Bundesstrafgericht [SGG], SR 173.71), kann Nichtigkeitsbeschwerde an den Kassationshof des Bundesgerichts erhoben werden ( Art. 1 Abs. 2 und Art. 33 Abs. 3 lit. b SGG ). Die Art. 268 ff. BStP sind analog anwendbar, mit Ausnahme von Art. 269 Abs. 2 BStP ( Art. 33 Abs. 3 lit. b SGG ).</w:t>
      </w:r>
    </w:p>
    <w:p>
      <w:r>
        <w:t>Der Beschwerdeführer ist zur Nichtigkeitsbeschwerde gegen den angefochtenen Entscheid als Angeklagter legitimiert ( Art. 270 lit. a BStP ). Die Beschwerdefrist von 30 Tagen ( Art. 272 Abs. 1 BStP ) ist eingehalten worden.</w:t>
      </w:r>
    </w:p>
    <w:p>
      <w:r>
        <w:rPr>
          <w:b/>
        </w:rPr>
        <w:t>E. 1.2</w:t>
      </w:r>
    </w:p>
    <w:p>
      <w:r>
        <w:t>Der Beschwerdeführer erhebt mehrere Verfassungs- bzw. Konventionsrügen. Er macht die Verletzung des rechtlichen Gehörs, der Unschuldsvermutung und des Grundsatzes "in dubio pro reo", des Willkürverbots, des Grundsatzes des fairen Verfahrens und von Art. 5 EMRK geltend.</w:t>
      </w:r>
    </w:p>
    <w:p>
      <w:r>
        <w:rPr>
          <w:b/>
        </w:rPr>
        <w:t>E. 1.2.1</w:t>
      </w:r>
    </w:p>
    <w:p>
      <w:r>
        <w:t>Mit Nichtigkeitsbeschwerde gegen letztinstanzliche kantonale Entscheide können keine Verfassungs- und Konventionsrügen erhoben werden. Das ergibt sich aus Art. 269 Abs. 2 BStP , wonach die staatsrechtliche Beschwerde wegen Verletzung verfassungsmässiger Rechte vorbehalten bleibt ( BGE 120 Ia 31 E. 2e).</w:t>
      </w:r>
    </w:p>
    <w:p>
      <w:r>
        <w:t>Art. 33 Abs. 3 lit. b SGG sieht allerdings vor, dass Art. 269 Abs. 2 BStP auf die von der Strafkammer des Bundesstrafgerichts in Bellinzona gefällten Entscheide keine Anwendung findet. Diese Übergangsregelung wurde nötig, weil sich nach der Botschaft der Totalrevision der Bundesrechtspflege die Anfechtung von Entscheiden des Bundesstrafgerichts (Strafkammer) von Anfang an nach dem Bundesgerichtsgesetz (BGG) gerichtet hätte, die eidgenössischen Räte jedoch das SGG vorzogen (vgl. Christina Kiss, Das neue Bundesstrafgericht, AJP 2003, S. 150 mit Hinweisen). Da gegen Entscheide von Bundesbehörden die staatsrechtliche Beschwerde nicht offen steht (vgl. Art. 84 ff. OG ), kann die Übergangsbestimmung im SGG, die den Vorbehalt der staatsrechtlichen Beschwerde beseitigt, nur bedeuten, dass die Verletzung verfassungsmässiger Rechte insoweit ebenfalls mit Nichtigkeitsbeschwerde geltend gemacht werden kann (Kiss, a.a.O., S. 151). Der Gesetzgeber hat damit die künftige Einheitsbeschwerde punktuell vorweggenommen (vgl. Art. 95 BGG , Bundesgesetz über das Bundesgericht vom 17. Juni 2005, BBl 2005 4072; Botschaft vom 28. Februar 2001 zur Totalrevision der Bundesrechtspflege, BBl 2001 4202 ff., 4233 ff.).</w:t>
      </w:r>
    </w:p>
    <w:p>
      <w:r>
        <w:t>Der Beschwerdeführer ist folglich legitimiert, mit Nichtigkeitsbeschwerde die von ihm erhobenen Verletzungen verfassungsmässiger Rechte zu rügen.</w:t>
      </w:r>
    </w:p>
    <w:p>
      <w:r>
        <w:rPr>
          <w:b/>
        </w:rPr>
        <w:t>E. 1.2.2</w:t>
      </w:r>
    </w:p>
    <w:p>
      <w:r>
        <w:t>Diese dem Beschwerdeführer eröffnete Möglichkeit bedeutet freilich nicht, dass der Kassationshof Sachverhaltsfragen frei prüfen würde. Denn der Kassationshof ist an die tatsächlichen Feststellungen der kantonalen Behörde gebunden ( Art. 277bis Abs. 1 Satz 2 BStP ), und Ausführungen gegen die tatsächlichen Feststellungen des Entscheides sind nicht zulässig ( Art. 273 Abs. 1 lit. b BStP ). Der Kassationshof prüft Rügen der Verletzung verfassungsmässiger Rechte im Rahmen einer Nichtigkeitsbeschwerde nur unter den für die staatsrechtliche Beschwerde geltenden Voraussetzungen (vgl. Art. 84 ff. OG ; BGE 127 I 38 E. 3c ; 125 I 492 E. 1b). Der Beschwerdeführer muss deshalb unter anderem die Rügen der Verletzung verfassungsmässiger Rechte klar von denjenigen der Verletzung von Bundesrecht trennen.</w:t>
      </w:r>
    </w:p>
    <w:p>
      <w:r>
        <w:rPr>
          <w:b/>
        </w:rPr>
        <w:t>E. 2</w:t>
      </w:r>
    </w:p>
    <w:p>
      <w:r>
        <w:t>Im Zusammenhang mit dem durch das Bundesgericht aufgehobenen Schuldspruch des versuchten Betrugs macht der Beschwerdeführer die Verletzung des Anspruchs auf rechtliches Gehör geltend. Er bringt vor, rechtzeitig und formgerecht den Antrag gestellt zu haben, die mit den Rechnungen vom 20., 22. und 23. August 2001 befassten Mitarbeiter der Finanzdienste und die Mitarbeiter des BIT bzw. die mit dem am 4. September 2001 erlassenen Hausdurchsuchungsbefehl konfrontierten Mitarbeiter zur Sache zu befragen, da ihre Aussagen entscheiden könnten, ob ein versuchter oder ein vollendeter Betrug vorliege. Die Vorinstanz habe den Beweisantrag mit der Begründung abgelehnt, es sei eine Erfahrungstatsache, dass Mitarbeiter, welche die Bezahlung einer Rechnung auslösten, annehmen würden, die fakturierten Leistungen seien auch erbracht worden. Zudem sei praktisch auszuschliessen, dass sich die Mitarbeiter an die fraglichen Rechnungen nach mehr als vier Jahren erinnern könnten. Diese antizipierte Beweiswürdigung sei unzulässig, da der angebotene Beweis am nicht hinreichend feststehenden Beweisergebnis etwas hätte ändern können. Zudem verletze die im ganzen Verfahren unterbliebene Befragung der fraglichen Mitarbeiter den sich aus Art. 6 Ziff. 3 lit. d EMRK ergebenden Anspruch, Fragen an Belastungszeugen zu stellen.</w:t>
      </w:r>
    </w:p>
    <w:p>
      <w:r>
        <w:t>Der Beschwerdeführer rügt weiter, die Vorinstanz habe damit die Untersuchungsmaxime gemäss Art. 146 Abs. 2 BStP sowie den Grundsatz "in dubio pro reo" verletzt. Schliesslich habe die Vorinstanz die Grundsätze des fairen Verfahrens missachtet, und sie sei in Willkür verfallen, indem sie seine Begehren ohne Begründung abgewiesen und ihm nicht wie beantragt eine Frist zur Stellung von Anträgen zur Strafzumessung eingeräumt habe (angefochtenes Urteil, S. 8-15).</w:t>
      </w:r>
    </w:p>
    <w:p>
      <w:r>
        <w:rPr>
          <w:b/>
        </w:rPr>
        <w:t>E. 2.1</w:t>
      </w:r>
    </w:p>
    <w:p>
      <w:r>
        <w:t>Die Vorinstanz wies die Beweisanträge mit Verfügung vom 14. September 2005 ab. Die Gründe der Abweisung ergeben sich aus dem angefochtenen Urteil. Anfechtungsobjekt ist hier nur dieses Urteil, nicht auch die prozessleitende Verfügung vom 14. September 2005. Da die Vorinstanz die Abweisung der Beweisanträge in ihrem Urteil begründet hat und der Beschwerdeführer in seiner Eingabe vom 26. September 2005 nach der Abweisung seines Antrags auf Zeugenbefragung die Gelegenheit wahrnahm, zu seinen - für die Strafzumessung relevanten - persönlichen Verhältnissen schriftlich Stellung zu nehmen, wurde sein rechtliches Gehör nicht verletzt. Ebenso wenig ist ersichtlich, inwiefern die Vorinstanz damit in Willkür verfallen sein und den Anspruch auf ein faires Verfahren verletzt haben soll.</w:t>
      </w:r>
    </w:p>
    <w:p>
      <w:r>
        <w:rPr>
          <w:b/>
        </w:rPr>
        <w:t>E. 2.2</w:t>
      </w:r>
    </w:p>
    <w:p>
      <w:r>
        <w:t>Die Überprüfung der Richtigkeit von Erfahrungssätzen und ihrer Anwendung wird vom Kassationshof als Rechtsfrage behandelt ( BGE 104 IV 43 E. 2a S. 45; 103 IV 110 E. 3; nicht publizierte E. 3 von BGE 121 IV 86 ).</w:t>
      </w:r>
    </w:p>
    <w:p>
      <w:r>
        <w:rPr>
          <w:b/>
        </w:rPr>
        <w:t>E. 2.2.1</w:t>
      </w:r>
    </w:p>
    <w:p>
      <w:r>
        <w:t>Die Vorinstanz nimmt an, die Mitarbeiter des Bundes, welche die drei Zahlungen auslösten, hätten sich von der allgemeinen Annahme leiten lassen, die von den Fachdiensten geprüften Rechnungen bestünden zu Recht. Sachlich geht sie davon aus, die Mitarbeiter hätten die Rechnungen nicht zur Zahlung freigegeben, wenn sie daran wegen Kenntnis der Verhaftung des Beschwerdeführers oder anderer Untersuchungsmassnahmen verdichtete Zweifel gehabt hätten. Im Übrigen sei mit grösster Wahrscheinlichkeit auszuschliessen, dass sich die fraglichen Mitarbeiter an die drei Rechnungen und an ihre Gedanken bzw. Wissen bei ihrer Auszahlung erinnern könnten (angefochtenes Urteil, S. 6).</w:t>
      </w:r>
    </w:p>
    <w:p>
      <w:r>
        <w:rPr>
          <w:b/>
        </w:rPr>
        <w:t>E. 2.2.2</w:t>
      </w:r>
    </w:p>
    <w:p>
      <w:r>
        <w:t>Das ist bundesrechtlich nicht zu beanstanden und verletzt im Übrigen auch Verfassungsrecht nicht.</w:t>
      </w:r>
    </w:p>
    <w:p>
      <w:r>
        <w:t>Die Personen, von denen der Beschwerdeführer die Befragung durch das Gericht beantragt hat, waren nicht seine Gehilfen oder Mittäter. Es ist ein allgemeiner Erfahrungssatz, dass unbescholtene Mitarbeiter des Bundes, die mit derartigen verantwortungs- und vertrauensvollen Aufgaben im Finanzbereich betraut sind, diese ohne gegenteilige Anhaltspunkte gewissenhaft ausüben und bei Zweifeln an einzelnen Rechnungen keine Zahlungsfreigabe vornehmen.</w:t>
      </w:r>
    </w:p>
    <w:p>
      <w:r>
        <w:rPr>
          <w:b/>
        </w:rPr>
        <w:t>E. 2.2.3</w:t>
      </w:r>
    </w:p>
    <w:p>
      <w:r>
        <w:t>Nicht ersichtlich ist ferner, inwiefern die unterbliebene Befragung der fraglichen Mitarbeiter den sich aus Art. 6 Ziff. 3 lit. d EMRK ergebenden Anspruch, Fragen an Belastungszeugen zu stellen, verletzen soll. Die Mitarbeiter wurden gerade nicht befragt und waren keine Belastungszeugen. Sofern sie als Entlastungszeugen angerufen worden wären, durfte die Vorinstanz ihre Befragung gestützt auf die oben dargelegte Erfahrungstatsache mangels gegenteiliger Anhaltspunkte ohne weiteres ablehnen. Aus den gleichen Gründen ist sowohl eine Verletzung des Grundsatzes "in dubio pro reo" als auch der bundesrechtlichen Untersuchungsmaxime gemäss Art. 146 Abs. 2 BStP zu verneinen.</w:t>
      </w:r>
    </w:p>
    <w:p>
      <w:r>
        <w:rPr>
          <w:b/>
        </w:rPr>
        <w:t>E. 3</w:t>
      </w:r>
    </w:p>
    <w:p>
      <w:r>
        <w:t>Der Beschwerdeführer rügt, die Vorinstanz sei in Willkür verfallen, indem sie bei der Strafzumessung nicht berücksichtigt habe, dass er bei der ersten Befragung vom 4. September 2001 die damals noch nicht bekannten und gutgeschriebenen Aufträge für die drei Rechnungen vom 20., 22. und 23. August 2001 von sich aus angegeben habe (Beschwerde, S. 16). Darauf ist nicht einzutreten. Ob die kantonale Behörde einen Gesichtspunkt bei der Strafzumessung zu Unrecht nicht beachtet hat, ist eine Rechtsfrage.</w:t>
      </w:r>
    </w:p>
    <w:p>
      <w:r>
        <w:rPr>
          <w:b/>
        </w:rPr>
        <w:t>E. 4</w:t>
      </w:r>
    </w:p>
    <w:p>
      <w:r>
        <w:t>Der Beschwerdeführer bringt weiter vor, das Strafgesetzbuch sei durch die von den eidgenössischen Räten angenommene Revision des Allgemeinen Teils des Strafgesetzbuchs in diesem Umfang aufgehoben worden. Die Revision sei zwar nicht in Kraft, doch bilde das "aufgehobene alte StGB keine formale Eingriffsgrundlage von freiheitsentziehenden Massnahmen im Sinne von Art. 5 EMRK " (Beschwerde, S.16f.). Dieser Einwand ist umso weniger berechtigt, als der Beschwerdeführer auch unter neuem Recht zu einer unbedingten Freiheitsstrafe verurteilt worden wäre. Überdies hat das Bundesgericht im Urteil vom 27. Februar 2006 (6S.425/2005) festgehalten, dass es in Kraft stehende Bundesgesetze anzuwenden hat, und es nicht an ihm liegt, an Stelle des Bundesrates das neue Recht für anwendbar zu erklären.</w:t>
      </w:r>
    </w:p>
    <w:p>
      <w:r>
        <w:rPr>
          <w:b/>
        </w:rPr>
        <w:t>E. 5</w:t>
      </w:r>
    </w:p>
    <w:p>
      <w:r>
        <w:t>Der Beschwerdeführer wendet sich schliesslich gegen die Strafzumessung. Er macht geltend, die Vorinstanz nehme aktenwidrig an, seine Bemühungen zur Schadenstilgung seien ihm schon im aufgehobenen Urteil zugute gehalten worden. Ferner hätte die Befragung der angerufenen Zeugen zusammen mit seinen aktenkundigen Aussagen aufzeigen können, dass eine Mitverantwortung des Täuschungsopfers vorgelegen habe und das Geständnis spontan erfolgt sei, was strafmindernd hätte gewertet werden müssen. Gegen die Erhöhung der Strafe um 15 Tage Gefängnis bringt er jedoch nichts vor. So macht er nicht geltend, die Vorinstanz hätte aufgrund der von ihm geltend gemachten Gesichtspunkte die Strafe in nur geringerem Masse erhöhen dürfen.</w:t>
      </w:r>
    </w:p>
    <w:p>
      <w:r>
        <w:rPr>
          <w:b/>
        </w:rPr>
        <w:t>E. 5.1</w:t>
      </w:r>
    </w:p>
    <w:p>
      <w:r>
        <w:t>Der Beschwerdeführer hat das erste Urteil der Vorinstanz angefochten und seine Vorbringen mit Ausnahme der geltend gemachten Aktenwidrigkeit bereits in jenem Verfahren erhoben. Soweit er mit seinen erneuerten Einwänden überhaupt zu hören ist, kann auf die Erwägungen im Urteil des Kassationshofes vom 6. Juni 2005 (6S.9/2005) verwiesen werden.</w:t>
      </w:r>
    </w:p>
    <w:p>
      <w:r>
        <w:rPr>
          <w:b/>
        </w:rPr>
        <w:t>E. 5.2</w:t>
      </w:r>
    </w:p>
    <w:p>
      <w:r>
        <w:t>Die Vorinstanz hat sich mit den in Ansätzen festgestellten Bemühungen des Beschwerdeführers zur Schadenstilgung im ersten Urteil bereits auseinandergesetzt und sowohl eine Strafmilderung als auch -minderung abgelehnt (Urteil vom 17. August 2004, S. 47). Das Bundesgericht hat dies in seinem Urteil vom 6. Juni 2005 nicht beanstandet (E. 5.3 am Ende). Im angefochtenen Urteil verweist die Vorinstanz darauf, dass dem Beschwerdeführer angesichts seiner nunmehr verschlechterten finanziellen Situation das Scheitern einer einvernehmlichen Schadenstilgung nicht angelastet werden könne. Wohl ist der weitere Hinweis der Vorinstanz, wonach seine Bemühungen ihm "schon im aufgehobenen Urteil zugute gehalten" worden seien, falsch (vgl. angefochtenes Urteil, S. 10 f.). Indessen hat sich dies für den Beschwerdeführer bei der Strafzumessung nicht nachteilig ausgewirkt. Die Vorinstanz wollte im neuen Urteil erkennbar lediglich zum Ausdruck bringen, dass sie das Scheitern einer einvernehmlichen Schadenstilgung seit dem ersten Urteil weder straferhöhend noch strafmindernd wertete.</w:t>
      </w:r>
    </w:p>
    <w:p>
      <w:r>
        <w:rPr>
          <w:b/>
        </w:rPr>
        <w:t>E. 6</w:t>
      </w:r>
    </w:p>
    <w:p>
      <w:r>
        <w:t>Nach dem Gesagten ist die Beschwerde abzuweisen, soweit darauf einzutreten ist.</w:t>
      </w:r>
    </w:p>
    <w:p>
      <w:r>
        <w:t>Der Beschwerdeführer stellt ein Gesuch um unentgeltliche Rechtspflege und Verbeiständung. Da seine Begehren von vornherein aussichtslos waren, ist sein Gesuch abzuweisen ( Art. 152 Abs. 1 OG ). Dementsprechend hat er die Kosten des Verfahrens zu tragen ( Art. 278 Abs. 1 BStP ). Seinen finanziellen Verhältnissen wird bei der Festsetzung der Gerichtsgebühr angemessen Rechnung getragen.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