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6S.439/2002 vom 7. Februar 2003</w:t>
      </w:r>
    </w:p>
    <w:p>
      <w:r>
        <w:t>Bundesgericht, 2003-02-07, DE</w:t>
      </w:r>
    </w:p>
    <w:p>
      <w:r>
        <w:rPr>
          <w:b/>
        </w:rPr>
        <w:t xml:space="preserve">Quelle: </w:t>
      </w:r>
      <w:r>
        <w:t>https://mcp.opencaselaw.ch/entscheid/bger_6S.439_2002</w:t>
      </w:r>
    </w:p>
    <w:p>
      <w:r>
        <w:t>FR: TF 6S.439/2002 du 7 février 2003</w:t>
      </w:r>
    </w:p>
    <w:p>
      <w:r>
        <w:t>IT: TF 6S.439/2002 del 7 febbraio 2003</w:t>
      </w:r>
    </w:p>
    <w:p>
      <w:pPr>
        <w:pStyle w:val="Heading2"/>
      </w:pPr>
      <w:r>
        <w:t>Regeste</w:t>
      </w:r>
    </w:p>
    <w:p>
      <w:r>
        <w:t>Straftaten</w:t>
      </w:r>
    </w:p>
    <w:p>
      <w:pPr>
        <w:pStyle w:val="Heading2"/>
      </w:pPr>
      <w:r>
        <w:t>Erwägungen</w:t>
      </w:r>
    </w:p>
    <w:p>
      <w:r>
        <w:rPr>
          <w:b/>
        </w:rPr>
        <w:t>E. 1</w:t>
      </w:r>
    </w:p>
    <w:p>
      <w:r>
        <w:t>Die eidgenössische Nichtigkeitsbeschwerde in Strafsachen ist kassatorischer Natur ( Art. 277ter Abs. 1 BStP ; SR 312.0). Soweit der Beschwerdeführer mehr als die Aufhebung des angefochtenen Entscheids verlangt, ist auf die Beschwerde nicht einzutreten ( BGE 125 IV 298 E. 1).</w:t>
      </w:r>
    </w:p>
    <w:p>
      <w:r>
        <w:rPr>
          <w:b/>
        </w:rPr>
        <w:t>E. 2</w:t>
      </w:r>
    </w:p>
    <w:p>
      <w:r>
        <w:t>Der Beschwerdeführer rügt eine Verletzung von Art. 139 Abs. 4 VZV . Wenn der Verdächtigte behaupte, eine halbe bis dreiviertel Stunde vor der Blutentnahme noch Alkohol zu sich genommen zu haben, so sei er gemäss dieser Bestimmung nach frühestens einer Viertelstunde einer zweiten Blutentnahme zu unterziehen. Er habe bis 24.00 Uhr Weisswein getrunken. Die Blutprobe habe um 0.40 Uhr stattgefunden. Nachdem er somit innerhalb von Dreiviertelstunden vor der Blutentnahme noch Alkohol zu sich genommen habe, hätte zwingend eine zweite Blutentnahme frühestens eine Viertelstunde nach 0.40 Uhr stattfinden müssen (Beschwerdeschrift S. 5 f.). Wie die Vorinstanz zutreffend darlegt (angefochtener Entscheid S. 7) kann der Beschwerdeführer aus der Tatsache, dass keine zweite Blutentnahme und -analyse erfolgte, nichts zu seinen Gunsten ableiten. Auf diese Ausführungen kann verwiesen werden ( Art. 36a Abs. 3 OG ). Art. 139 Abs. 4 VZV soll sicherstellen, dass die Angetrunkenheit auch von Fahrzeuglenkern rechtsgenüglich nachgewiesen werden kann, die sich noch in der Resorptionsphase befinden und bei welchen die (erste) Blutprobe nur deshalb einen Wert von weniger als 0,8 Promille ergibt. Da beim Beschwerdeführer bereits die erste Blutprobe die kritische Grenze von 0,8 Promille überschritten hatte, hat es damit sein Bewenden.</w:t>
      </w:r>
    </w:p>
    <w:p>
      <w:r>
        <w:rPr>
          <w:b/>
        </w:rPr>
        <w:t>E. 3</w:t>
      </w:r>
    </w:p>
    <w:p>
      <w:r>
        <w:t>Der Beschwerdeführer rügt eine Verletzung von Art. 141 Abs. 4 Satz 2 VZV . Danach seien nötigenfalls die Zuverlässigkeit der Blutanalyse und die Möglichkeit von Fehlerquellen durch einen Fachmann (Chemiker) zu begutachten. Ohne weitere Begründung komme die Vorinstanz zum Schluss, es hätte kein Anlass bestanden, diese Fragenkomplexe zu begutachten (Beschwerdeschrift S. 6 f.). Die vorinstanzliche Beurteilung ist nicht zu beanstanden. Bezeichnenderweise vermag der Beschwerdeführer keinen Anhaltspunkt zu nennen, der die Zuverlässigkeit der Blutanalyse in Frage stellen beziehungsweise die Möglichkeit von Fehlerquellen anlässlich der Blutanalyse aufzeigen würde. Dass der analysierte Mindestwert von 0,81 Promille nur knapp über dem Grenzwert von 0,8 Promille liegt, dass der zweite Alco-Test eine Blutalkoholkonzentration von lediglich 0,65 Promille ergab und dass gestützt auf die Angaben des Beschwerdeführers über den konsumierten Alkohol ebenfalls eine Blutalkoholkonzentration von 0,65 Promille resultiere (Beschwerdeschrift S. 6 Ziff. 2), sind alles Elemente, die weder mit der Zuverlässigkeit der Blutanalyse selbst noch mit möglichen Fehlerquellen derselben etwas zu tun haben. Im Übrigen ist auch hier auf den angefochtenen Entscheid (S. 6) zu verweisen.</w:t>
      </w:r>
    </w:p>
    <w:p>
      <w:r>
        <w:rPr>
          <w:b/>
        </w:rPr>
        <w:t>E. 4</w:t>
      </w:r>
    </w:p>
    <w:p>
      <w:r>
        <w:t>Nach dem Gesagten erweist sich die Beschwerde als unbegründet. Bei diesem Ausgang des Verfahrens wird der Beschwerdeführer kostenpflichtig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