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6S.427/2006 vom 12. Januar 2007</w:t>
      </w:r>
    </w:p>
    <w:p>
      <w:r>
        <w:t>Bundesgericht, 2007-01-12, FR</w:t>
      </w:r>
    </w:p>
    <w:p>
      <w:r>
        <w:rPr>
          <w:b/>
        </w:rPr>
        <w:t xml:space="preserve">Quelle: </w:t>
      </w:r>
      <w:r>
        <w:t>https://mcp.opencaselaw.ch/entscheid/bger_6S.427_2006</w:t>
      </w:r>
    </w:p>
    <w:p>
      <w:r>
        <w:t>FR: TF 6S.427/2006 du 12 janvier 2007</w:t>
      </w:r>
    </w:p>
    <w:p>
      <w:r>
        <w:t>IT: TF 6S.427/2006 del 12 gennaio 2007</w:t>
      </w:r>
    </w:p>
    <w:p>
      <w:pPr>
        <w:pStyle w:val="Heading2"/>
      </w:pPr>
      <w:r>
        <w:t>Erwägungen</w:t>
      </w:r>
    </w:p>
    <w:p>
      <w:r>
        <w:rPr>
          <w:b/>
        </w:rPr>
        <w:t>E. 1.1</w:t>
      </w:r>
    </w:p>
    <w:p>
      <w:r>
        <w:t>Il y a lieu de relever à titre préliminaire que 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rPr>
          <w:b/>
        </w:rPr>
        <w:t>E. 1.2</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rPr>
          <w:b/>
        </w:rPr>
        <w:t>E. 2</w:t>
      </w:r>
    </w:p>
    <w:p>
      <w:r>
        <w:t>Le premier grief du recourant est tiré d'une violation de l' art. 63 CP . Selon lui, le Tribunal correctionnel du Val-de-Travers a violé cette disposition en partant de la prémisse que la peine qu'il était appelé à prononcer devait obligatoirement être supérieure aux 18 mois avec sursis prononcés par la première autorité de jugement.</w:t>
      </w:r>
    </w:p>
    <w:p>
      <w:r>
        <w:t>Conformément à l' art. 268 ch. 1 PPF , le pourvoi en nullité à la Cour de cassation pénale du Tribunal fédéral n'est recevable que contre un jugement qui ne peut pas donner lieu à un recours de droit cantonal pour violation du droit fédéral, à l'exception des jugements des tribunaux inférieurs statuant en instance cantonale unique. Par conséquent, le recourant ne saurait, par la voie du présent pourvoi en nullité, s'en prendre au jugement du Tribunal correctionnel du Val-de-Travers. Son recours est donc irrecevable dans la mesure où il est dirigé contre celui-ci. La seule question que peut examiner la Cour de cassation est celle de savoir si la Cour de cassation pénale neuchâteloise, en confirmant la peine prononcée par l'autorité de première instance, s'est conformée aux règles de l' art. 63 CP .</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t>En l'espèce, la cour cantonale a rappelé les différents facteurs à charge et à décharge et a souligné que le jugement de première instance les énumérait soigneusement, de sorte qu'elle pouvait s'y référer sans le paraphraser. De fait, il n'apparaît pas que des éléments favorables au recourant auraient été méconnus ni que des circonstances auraient été à tort prises en compte en sa défaveur. Le seul élément expressément invoqué par le recourant, savoir le fait qu'il s'est endetté auprès de sa famille pour verser à la plaignante les indemnités mises à sa charge, a été relevé, de sorte que le recourant ne saurait reprocher à l'autorité cantonale de l'avoir méconnu. La question de savoir si, comme le prétend le recourant, cette circonstance aurait dû être considérée comme un repentir sincère au sens de l' art. 64 CP sera examinée ultérieurement.</w:t>
      </w:r>
    </w:p>
    <w:p>
      <w:r>
        <w:t>Ainsi, la peine prononcée a été fixée sur la base de critères pertinents et se situe dans le cadre légal. Compte tenu des différents éléments relevés par l'autorité cantonale et notamment de la gravité de la faute du recourant, qui s'en est pris à une jeune fille d'à peine 16 ans et qui venait donc d'atteindre l'âge auquel prend fin la protection absolue de l' art. 187 CP , lui a fait ingérer une drogue à son insu afin de briser sa résistance et d'obtenir d'elle des relations sexuelles auxquelles elle lui avait déjà dit ne pas consentir, la peine n'apparaît pas exagérément sévère au point de constituer un abus du pouvoir d'appréciation.</w:t>
      </w:r>
    </w:p>
    <w:p>
      <w:r>
        <w:rPr>
          <w:b/>
        </w:rPr>
        <w:t>E. 3</w:t>
      </w:r>
    </w:p>
    <w:p>
      <w:r>
        <w:t>Le recourant soutient en outre que l'autorité cantonale aurait dû le mettre au bénéfice du repentir sincère prévu par l' art. 64 CP au motif qu'il s'est endetté auprès de sa famille pour verser à sa victime les indemnités mises à sa charge par le jugement de condamnation.</w:t>
      </w:r>
    </w:p>
    <w:p>
      <w:r>
        <w:t>L' art. 64 al. 7 CP prévoit que le juge pourra atténuer la peine lorsque le coupable "aura manifesté par des actes un repentir sincère, notamment lorsqu'il aura réparé le dommage autant qu'on pouvait l'attendre de lui". La réalisation de cette circonstance atténuante suppose que l'auteur adopte un comportement particulier, méritoire, désintéressé et durable, qui constitue la preuve concrète d'un repentir sincère. L'auteur doit agir de son propre mouvement, dans un esprit de repentir ( ATF 107 IV 98 consid. 1 et les références citées). Ainsi, cette circonstance atténuante ne peut être retenue que si, sur le plan subjectif, l'auteur n'a pas agi sous la pression du procès à venir et pour des raisons tactiques mais mû par un repentir sincère avec la volonté de réparer le tort causé. Déterminer la volonté de l'auteur relève de l'établissement des faits ( ATF 126 IV 209 consid. 2d p. 215; 125 IV 49 consid. 2d p. 56 et les arrêts cités), de sorte que les constatations de l'autorité cantonale à ce propos lient la Cour de cassation saisie d'un pourvoi en nullité ( art. 277bis al. 1 PPF ).</w:t>
      </w:r>
    </w:p>
    <w:p>
      <w:r>
        <w:t>En l'espèce, l'autorité cantonale a constaté que le dédommagement auquel a consenti le recourant n'était pas venu de son propre mouvement mais parce qu'un tribunal l'avait condamné. Cette constatation, qui lie le Tribunal fédéral, exclut que le recourant puisse être mis au bénéfice de la circonstance atténuante du repentir sincère puisque celle-ci, selon la jurisprudence, suppose que l'auteur ait agi de son propre mouvement. L'arrêt attaqué ne viole par conséquent pas l' art. 64 CP et le pourvoi doit être rejeté.</w:t>
      </w:r>
    </w:p>
    <w:p>
      <w:r>
        <w:rPr>
          <w:b/>
        </w:rPr>
        <w:t>E. 4</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r>
        <w:t>Enfin, il n'y a pas lieu d'allouer d'indemnité à l'intimée qui n'est pas intervenue dans la procédure devant la Cour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