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6S.416/2001 vom 22. Oktober 2001</w:t>
      </w:r>
    </w:p>
    <w:p>
      <w:r>
        <w:t>Bundesgericht, 2001-10-22, FR</w:t>
      </w:r>
    </w:p>
    <w:p>
      <w:r>
        <w:rPr>
          <w:b/>
        </w:rPr>
        <w:t xml:space="preserve">Quelle: </w:t>
      </w:r>
      <w:r>
        <w:t>https://mcp.opencaselaw.ch/entscheid/bger_6S.416_2001</w:t>
      </w:r>
    </w:p>
    <w:p>
      <w:r>
        <w:t>FR: TF 6S.416/2001 du 22 octobre 2001</w:t>
      </w:r>
    </w:p>
    <w:p>
      <w:r>
        <w:t>IT: TF 6S.416/2001 del 22 ottobre 2001</w:t>
      </w:r>
    </w:p>
    <w:p>
      <w:pPr>
        <w:pStyle w:val="Heading2"/>
      </w:pPr>
      <w:r>
        <w:t>Regeste</w:t>
      </w:r>
    </w:p>
    <w:p>
      <w:r>
        <w:t>Droit pénal (en général)</w:t>
      </w:r>
    </w:p>
    <w:p>
      <w:pPr>
        <w:pStyle w:val="Heading2"/>
      </w:pPr>
      <w:r>
        <w:t>Erwägungen</w:t>
      </w:r>
    </w:p>
    <w:p>
      <w:r>
        <w:rPr>
          <w:b/>
        </w:rPr>
        <w:t>E. 1</w:t>
      </w:r>
    </w:p>
    <w:p>
      <w:r>
        <w:t>a) Le pourvoi en nullité est ouvert contre les décisions mentionnées à l' art. 268 PPF (RS 312. 0), notamment contre les jugements pénaux rendus en dernière instance cantonale, à l'exception des jugements rendus par un tribunal inférieur statuant en instance cantonale unique. Par jugement au sens de cette disposition, il faut entendre une décision rendue par une autorité judiciaire cantonale qui statue sur le sort même de la cause, et non sur la marche de la procédure ou sur une simple question d'exécution ( ATF 84 IV 84 consid. 2 et les arrêts cités); ainsi, constituent notamment un jugement l'acquittement ou le verdict de culpabilité, le prononcé d'une peine ou d'une mesure prévue par la loi pénale ou encore la décision par laquelle l'autorité met un terme à la procédure en constatant que l'action pénale est prescrite, mais aussi la décision rendue en matière d'exécution des peines et mesures que le droit fédéral réserve au juge, telle que la révocation du sursis (cf. ATF 122 IV 156 consid. 3c p. 161; 118 IV 330 ). Il peut s'agir non seulement d'une décision finale, qui met un terme à l'action pénale, mais aussi d'une décision préjudicielle ou incidente, si elle tranche définitivement, sur le plan cantonal, une question de droit fédéral ( ATF 123 IV 252 consid. 1; 122 IV 45 consid. 1c p. 46 s.; 119 IV 168 consid. 2a; 111 IV 188 consid. 2). L'arrêt attaqué écarte un recours dirigé contre un avertissement formel donné en application de l' art. 41 ch. 3 al. 1 CP , en tant que cette disposition prévoit la révocation du sursis lorsque, pendant le délai d'épreuve, le condamné persiste "au mépris d'un avertissement formel du juge", à enfreindre une des règles de conduite à lui imposées. Il constitue manifestement une décision incidente, puisqu'il ne statue par sur la révocation elle-même. Il tranche toutefois définitivement, sur le plan cantonal, une question de droit fédéral, soit celle de la validité de l'avertissement donné au recourant en application de l' art. 41 ch. 3 al. 1 CP . Il peut donc faire l'objet d'un pourvoi en nullité. b) Le pourvoi en nullité suppose, comme toute autre voie de droit, l'existence d'un intérêt juridique et actuel au recours ( ATF 124 IV 94 consid. 1a p. 95; cf. également ATF 126 II 198 consid. 2b p. 201 et les arrêts cités). Le prononcé d'un avertissement formel en application de l' art. 41 ch. 3 al. 1 CP expose le condamné à une révocation du sursis en cas de violation subséquente de la règle de conduite imposée. Si l'avertissement a été donné à tort, celui qui en a fait l'objet a donc un intérêt juridique et actuel à obtenir son annulation. Le recourant est par conséquent légitimé à se pourvoir en nullité pour contester l'avertissement prononcé à son encontre.</w:t>
      </w:r>
    </w:p>
    <w:p>
      <w:r>
        <w:rPr>
          <w:b/>
        </w:rPr>
        <w:t>E. 2</w:t>
      </w:r>
    </w:p>
    <w:p>
      <w:r>
        <w:t>Le recourant soutient que l'arrêt cantonal du 31 mars 2000 n'est devenu exécutoire qu'après que le Tribunal ait statué, le 17 août 2000, sur le pourvoi en nullité et le recours de droit public qu'il avait formés contre cet arrêt. Le délai d'épreuve du sursis n'aurait donc commencé à courir qu'à partir de cette date, de sorte qu'on ne pouvait lui reprocher de n'avoir pas respecté auparavant la règle de conduite imposée ni, par conséquent, lui donner un avertissement. Par ordonnance du 16 mai 2000, le pourvoi en nullité et le recours de droit public formés par le recourant contre l'arrêt cantonal du 31 mars 2000 ont été munis superprovisoirement de l'effet suspensif, en ce sens qu'aucune mesure d'exécution ne pouvait être prise jusqu'à ce que le Tribunal fédéral se prononce sur la requête d'effet suspensif présentée par le recourant. Le Tribunal fédéral ayant statué sur les recours le 17 août 2000, la requête d'effet suspensif devenait sans objet. Les recours n'en avaient pas moins été munis de l'effet suspensif à titre superprovisoire. Certes, l'ordonnance du 16 mai 2000 n'avait pas été communiquée à l'autorité cantonale et les arrêts du Tribunal fédéral du 17 août 2000 ne mentionnaient pas que l'effet suspensif avait été accordé à titre superprovisoire. Cette ordonnance avait toutefois été communiquée aux parties, notamment au Procureur général, dont on pouvait à tout le moins attendre qu'il en fasse état dans le cadre de sa requête du 26 septembre 2000. Ce nonobstant, au moment où elles ont statué sur cette requête, les autorités cantonales tant de première que de seconde instance ne pouvaient ignorer le contenu de cette ordonnance, puisque celle-ci, produite tant par la partie adverse du recourant, à l'appui de sa demande du 6 septembre 2000, que par ce dernier, en annexe de sa détermination du 24 octobre 2000, était versée au dossier, étant relevé que le recourant s'y est en outre expressément référé dans son mémoire de recours cantonal (cf. supra, let. B). Il résulte de ce qui précède que l'arrêt cantonal du 31 mars 2000 n'était en tout cas pas exécutoire du jour où les recours dirigés contre cet arrêt ont été munis superprovisoirement de l'effet suspensif au jour où il a été statué sur ces recours, soit du 16 mai au 17 août 2000 inclus. C'est donc à tort que les juges cantonaux ont considéré que le délai d'épreuve courait durant cette période. Pour ce qui est de la période allant du 1er avril au 15 mai 2000 inclus, donc d'une durée d'environ six semaines, le recourant n'aurait guère pu se voir reprocher que l'omission d'un remboursement mensuel. Un avertissement à raison de cette unique omission ne se justifiait pas, d'autant moins que, depuis le rejet par le Tribunal fédéral, le 17 août 2000, des recours qu'il avait formés contre l'arrêt cantonal du 31 mars 2000, le recourant apparaît s'être conformé à la règle de conduite qui lui avait été imposée. Ainsi, l'avertissement contesté n'était pas justifié. Le pourvoi est donc fondé. L'arrêt attaqué doit par conséquent être annulé, la cause étant renvoyée à l'autorité cantonale pour nouvelle décision.</w:t>
      </w:r>
    </w:p>
    <w:p>
      <w:r>
        <w:rPr>
          <w:b/>
        </w:rPr>
        <w:t>E. 3</w:t>
      </w:r>
    </w:p>
    <w:p>
      <w:r>
        <w:t>Vu l'issue du pourvoi, il ne sera pas perçu de frais ( art. 278 al. 2 PPF ) et une indemnité sera allouée au recourant ( art. 278 al. 3 PPF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