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6S.413/1999 vom 19. Dezember 2000</w:t>
      </w:r>
    </w:p>
    <w:p>
      <w:r>
        <w:t>Bundesgericht, 2000-12-19, DE</w:t>
      </w:r>
    </w:p>
    <w:p>
      <w:r>
        <w:rPr>
          <w:b/>
        </w:rPr>
        <w:t xml:space="preserve">Quelle: </w:t>
      </w:r>
      <w:r>
        <w:t>https://mcp.opencaselaw.ch/entscheid/bger_6S.413_1999</w:t>
      </w:r>
    </w:p>
    <w:p>
      <w:r>
        <w:t>FR: TF 6S.413/1999 du 19 décembre 2000</w:t>
      </w:r>
    </w:p>
    <w:p>
      <w:r>
        <w:t>IT: TF 6S.413/1999 del 19 dicembre 2000</w:t>
      </w:r>
    </w:p>
    <w:p>
      <w:pPr>
        <w:pStyle w:val="Heading2"/>
      </w:pPr>
      <w:r>
        <w:t>Regeste</w:t>
      </w:r>
    </w:p>
    <w:p>
      <w:r>
        <w:t>Straftaten</w:t>
      </w:r>
    </w:p>
    <w:p>
      <w:pPr>
        <w:pStyle w:val="Heading2"/>
      </w:pPr>
      <w:r>
        <w:t>Erwägungen</w:t>
      </w:r>
    </w:p>
    <w:p>
      <w:r>
        <w:rPr>
          <w:b/>
        </w:rPr>
        <w:t>E. 8</w:t>
      </w:r>
    </w:p>
    <w:p>
      <w:r>
        <w:t>Der Beschwerdeführer ersucht um Gewährung der unentgeltlichen Rechtspflege. Die finanzielle Bedürftigkeit scheint gegeben zu sein. Die Nichtigkeitsbeschwerde, die vor der Ausfällung des - hier mehrfach zitierten - Urteils des Kassationshofes vom 20. Mai 2000 ( BGE 126 IV 141 ) eingereicht wurde, war in wesentlichen Teilen nicht von vornherein aussichtslos. Das Gesuch um Gewährung der unentgeltlichen Rechtspflege ist daher gutzuheissen. Demnach werden keine Kosten erhoben und wird dem Vertreter des Beschwerdeführers, Rechtsanwalt Philipp Dreier, Zürich, für das Verfahren der eidgenössischen Nichtigkeitsbeschwerde eine Entschädigung von Fr. 2'500. --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