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6S.411/2006 vom 8. Februar 2007</w:t>
      </w:r>
    </w:p>
    <w:p>
      <w:r>
        <w:t>Bundesgericht, 2007-02-08, FR</w:t>
      </w:r>
    </w:p>
    <w:p>
      <w:r>
        <w:rPr>
          <w:b/>
        </w:rPr>
        <w:t xml:space="preserve">Quelle: </w:t>
      </w:r>
      <w:r>
        <w:t>https://mcp.opencaselaw.ch/entscheid/bger_6S.411_2006</w:t>
      </w:r>
    </w:p>
    <w:p>
      <w:r>
        <w:t>FR: TF 6S.411/2006 du 8 février 2007</w:t>
      </w:r>
    </w:p>
    <w:p>
      <w:r>
        <w:t>IT: TF 6S.411/2006 del 8 febbraio 2007</w:t>
      </w:r>
    </w:p>
    <w:p>
      <w:pPr>
        <w:pStyle w:val="Heading2"/>
      </w:pPr>
      <w:r>
        <w:t>Erwägungen</w:t>
      </w:r>
    </w:p>
    <w:p>
      <w:r>
        <w:rPr>
          <w:b/>
        </w:rPr>
        <w:t>E. 1.1</w:t>
      </w:r>
    </w:p>
    <w:p>
      <w:r>
        <w:t>Il y a lieu de relever à titre préliminaire que 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rPr>
          <w:b/>
        </w:rPr>
        <w:t>E. 1.2</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t>Comme la Cour de cassation a été saisie simultanément de l'action pénale et des conclusions civiles qui ont été jugées en même temps que cette dernière, le pourvoi en nullité est recevable ( art. 271 al. 2 PPF ), étant précisé qu'un pourvoi autonome serait également admissible puisque la valeur litigieuse des prétentions civiles dépasse largement le seuil fixé à l' art. 46 OJ ( art. 271 al. 1 PPF ).</w:t>
      </w:r>
    </w:p>
    <w:p>
      <w:r>
        <w:rPr>
          <w:b/>
        </w:rPr>
        <w:t>E. 1.3</w:t>
      </w:r>
    </w:p>
    <w:p>
      <w:r>
        <w:t>En revanche, le pourvoi en nullité est irrecevable dans la mesure où le recourant se plaint de sa condamnation aux frais de la cause en application de l'art. 207 al. 1 du Code de procédure pénale du canton du Valais, du 22 février 1962 (ci-après: CPP/VS; RS/VS 312.0). En effet, cette voie de recours n'est pas ouverte pour violation du droit cantonal, dont relève notamment la condamnation aux frais de la procédure ( ATF 79 IV 88 consid. 2 i.f. p. 91). Tout au plus X.________ aurait-il pu se plaindre d'application arbitraire ( art. 9 Cst. ) de l' art. 207 al. 1 CPP /VS dans un recours connexe de droit public ( art. 269 al. 2 PPF ).</w:t>
      </w:r>
    </w:p>
    <w:p>
      <w:r>
        <w:rPr>
          <w:b/>
        </w:rPr>
        <w:t>E. 2</w:t>
      </w:r>
    </w:p>
    <w:p>
      <w:r>
        <w:t>Le recourant conteste sa condamnation pour lésions corporelles graves par négligence ( art. 125 ch. 2 CP ).</w:t>
      </w:r>
    </w:p>
    <w:p>
      <w:r>
        <w:t>Selon l' art. 125 CP , «celui qui, par négligence, aura fait subir à une personne une atteinte à l'intégrité corporelle ou à la santé sera, sur plainte, puni de l'emprisonnement ou de l'amende». L' art. 125 al. 2 CP prévoit que si la lésion est grave, l'auteur sera poursuivi d'office.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w:t>
      </w:r>
    </w:p>
    <w:p>
      <w:r>
        <w:rPr>
          <w:b/>
        </w:rPr>
        <w:t>E. 2.1</w:t>
      </w:r>
    </w:p>
    <w:p>
      <w:r>
        <w:t>Pour qu'il y ait lésions corporelles graves par négligence, il faut tout d'abord que l'auteur ait violé les règles de la prudence que les circonstances lui imposaient pour ne pas excéder les limites du risque admissible ( ATF 129 IV 119 consid. 2.1 p. 121; 122 IV 145 consid. 3b/aa p. 147,133 consid. 2a p. 135, 17 consid. 2b p.19; 121 IV 207 consid. 2a p. 211).</w:t>
      </w:r>
    </w:p>
    <w:p>
      <w:r>
        <w:rPr>
          <w:b/>
        </w:rPr>
        <w:t>E. 2.1.1</w:t>
      </w:r>
    </w:p>
    <w:p>
      <w:r>
        <w:t>Pour déterminer plus précisément quels étaient les devoirs imposés par la prudence, on peut se référer à des normes édictées par l'ordre juridique pour assurer la sécurité et éviter les accidents. À défaut de dispositions légales ou réglementaires, on peut s'inspirer des règles analogues qui émanent d'associations privées ou semi-publiques lorsqu'elles sont généralement reconnues. La violation des devoirs de la prudence peut aussi être déduite des principes généraux, si aucune règle spéciale de sécurité n'a été violée ( ATF 122 IV 17 consid. 2b/aa p. 20, 145 consid. 3b/aa p. 147; 121 IV 207 consid. 2a p. 211 déjà cités).</w:t>
      </w:r>
    </w:p>
    <w:p>
      <w:r>
        <w:t>En l'espèce, s'agissant d'un accident de la route, il convient de se référer aux règles de la circulation pour déterminer quels étaient les devoirs de la prudence ( ATF 122 IV 133 consid. 2a p. 135, 225 consid. 2a p. 227).</w:t>
      </w:r>
    </w:p>
    <w:p>
      <w:r>
        <w:rPr>
          <w:b/>
        </w:rPr>
        <w:t>E. 2.1.2</w:t>
      </w:r>
    </w:p>
    <w:p>
      <w:r>
        <w:t>Selon l' art. 36 al. 4 LCR , le conducteur qui veut engager son véhicule dans la circulation ne doit pas entraver les autres usagers de la route, qui bénéficient de la priorité. L' art. 14 al. 1 OCR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 ATF 114 IV 146 ss).</w:t>
      </w:r>
    </w:p>
    <w:p>
      <w:r>
        <w:t>Dans le cas présent, le recourant ne conteste pas qu'il se trouvait dans la situation d'un usager voulant engager son véhicule dans la circulation. Mais il soutient qu'en application du principe de la confiance, on ne saurait lui reprocher d'avoir refusé illicitement la priorité à l'intimé.</w:t>
      </w:r>
    </w:p>
    <w:p>
      <w:r>
        <w:rPr>
          <w:b/>
        </w:rPr>
        <w:t>E. 2.1.2.1</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 ATF 120 IV 252 consid. 2d/aa p. 254; 100 IV 186 consid. 3 p. 189).</w:t>
      </w:r>
    </w:p>
    <w:p>
      <w:r>
        <w:t>Le principe de la confiance s'applique notamment au débiteur de la priorité. Le conducteur qui s'est engagé dans la circulation alors que l'état du trafic lui aurait normalement permis de le faire sans gêner personne ne peut être repris pour refus de priorité s'il a néanmoins gêné la progression d'un usager prioritaire, parce que celui-ci a violé une règle de la circulation de manière imprévisible pour le débiteur. Toutefois, pour la clarté des règles de priorité, il ne faut pas admettre facilement que le débiteur de la priorité était en droit de compter qu'aucun usager prioritaire ne passerait devant lui ou qu'aucun usager prioritaire ne serait gêné par son insertion dans le trafic ( ATF 120 IV 252 consid. 2d/aa p. 254).</w:t>
      </w:r>
    </w:p>
    <w:p>
      <w:r>
        <w:rPr>
          <w:b/>
        </w:rPr>
        <w:t>E. 2.1.2.2</w:t>
      </w:r>
    </w:p>
    <w:p>
      <w:r>
        <w:t>La cour cantonale a constaté de manière à lier la cour de céans ( art. 277bis al. 1 PPF ) que le recourant, arrêté presque perpendiculairement à la route, a laissé passer huit véhicules qui montaient sur sa droite, qu'il a vérifié que la voie était libre sur sa gauche, puis qu'il s'est avancé sur la voie de gauche, en obliquant à gauche pour rejoindre la colonne montante en roulant à l'allure d'un homme au pas. Lorsqu'il a vu surgir l'intimé, à une distance de 34 mètres, il s'est s'arrêté en travers de la partie gauche de la chaussée, large de 3 mètres. Or, en choisissant de s'arrêter plutôt que d'accélérer pour s'engager rapidement dans l'espace laissé libre derrière le huitième véhicule progressant dans la colonne montante, dans laquelle il pouvait prendre place sans difficulté, le recourant a accru le risque d'un accident, en continuant d'obstruer la voie de gauche de la route alors qu'il pouvait libérer celle-ci et empêcher la collision de se produire. Il s'agit là d'une erreur d'appréciation face à un événement qui n'avait rien d'imprévisible, puisqu'il était en train de se produire sous ses yeux.</w:t>
      </w:r>
    </w:p>
    <w:p>
      <w:r>
        <w:t>En continuant d'obstruer la voie de gauche après avoir vu surgir l'intimé, le recourant a dès lors bien contrevenu aux art. 36 al. 4 LCR et 14 al. 1 OCR et, partant, violé les devoirs de la prudence découlant des règles de la circulation.</w:t>
      </w:r>
    </w:p>
    <w:p>
      <w:r>
        <w:rPr>
          <w:b/>
        </w:rPr>
        <w:t>E. 2.1.3</w:t>
      </w:r>
    </w:p>
    <w:p>
      <w:r>
        <w:t>S'il y a eu violation des devoirs de la prudence, encore faut-il, pour qu'il y ait négligence, que cette violation puisse être imputée à faute, c'est-à-dire que l'on puisse reprocher à l'auteur, compte tenu de ses circonstances personnelles, d'avoir fait preuve d'un manque d'effort blâmable ( ATF 122 IV 17 consid. 2b/ee; 145 consid. 3b/aa p. 148). Dans le cas particulier, il a été souverainement établi par la cour cantonale ( art. 277bis al. 1 PPF ) que de nombreux cyclistes passaient à la descente à cet endroit, à des vitesses supérieures à celle autorisée, ce que le recourant a reconnu avoir constaté lui-même à quelques occasions. Il faut en conclure que ce dernier a commis une négligence en ne dégageant pas la voie descendante prioritaire, alors qu'il avait la possibilité de s'engager rapidement dans la voie montante, ce qui aurait supprimé ou minimisé le risque d'accident. En effet, vu les circonstances de la cause, le recourant ne pouvait se fonder sur le principe de la confiance pour soutenir qu'il serait en droit de compter que le prioritaire ne dépasserait pas la vitesse admissible. Le recourant a donc bien commis une négligence, que la cour cantonale a eu raison de qualifier de légère au vu des circonstances, et notamment de la simple erreur d'appréciation du conducteur de la voiture, quant à la position de celle-ci sur la route.</w:t>
      </w:r>
    </w:p>
    <w:p>
      <w:r>
        <w:rPr>
          <w:b/>
        </w:rPr>
        <w:t>E. 2.2</w:t>
      </w:r>
    </w:p>
    <w:p>
      <w:r>
        <w:t>Pour qu'il y ait lésions corporelles par négligence, il faut aussi un rapport de causalité entre la violation fautive d'un devoir de prudence, d'une part, et les lésions subies, d'autre part.</w:t>
      </w:r>
    </w:p>
    <w:p>
      <w:r>
        <w:rPr>
          <w:b/>
        </w:rPr>
        <w:t>E. 2.2.1</w:t>
      </w:r>
    </w:p>
    <w:p>
      <w:r>
        <w:t>Un comportement est la cause naturelle d'un résultat s'il en constitue l'une des conditions sine qua non. La constatation du rapport de causalité naturelle relève du fait, ce qui la soustrait au contrôle de la Cour de cassation, pour autant que l'autorité cantonale n'ait pas méconnu le concept même de la causalité naturelle ( ATF 122 IV 17 consid. 2c/aa et les arrêts cités, p. 23).</w:t>
      </w:r>
    </w:p>
    <w:p>
      <w:r>
        <w:t>Dans le cas présent, la cour cantonale n'a pas méconnu l'exigence d'un rapport de causalité naturelle ni le sens de cette notion. Elle a constaté que, si le recourant n'avait pas placé sa voiture en biais sur la partie gauche de la chaussée, obstruant entièrement la voie de circulation réservée aux véhicules venant en sens inverse, qui étaient prioritaires, ou s'il avait roulé assez vite pour intégrer le trafic montant sur la voie de circulation de droite, l'accident ne se serait pas produit. Ces constatations de fait, qui lient la Cour de cassation ( art. 277bis al. 1 PPF ), démontrent que l'autorité cantonale a respecté la notion de causalité naturelle découlant du droit fédéral.</w:t>
      </w:r>
    </w:p>
    <w:p>
      <w:r>
        <w:rPr>
          <w:b/>
        </w:rPr>
        <w:t>E. 2.2.2</w:t>
      </w:r>
    </w:p>
    <w:p>
      <w:r>
        <w:t>Lorsque la causalité naturelle est retenue, il faut encore se demander si le rapport de causalité peut être qualifié d'adéquat, c'est-à-dire si le comportement de l'auteur était propre, selon une appréciation objective, à entraîner un résultat du genre de celui qui s'est produit ou à en favoriser l'avènement, de telle sorte que la raison conduit naturellement à imputer le résultat à la commission de l'acte ( ATF 131 IV 145 consid. 5.1, p. 147/148 et les arrêts cités).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et l'auteur cité).</w:t>
      </w:r>
    </w:p>
    <w:p>
      <w:r>
        <w:t>Lorsqu'un conducteur immobilise sa voiture au milieu d'une voie de circulation, l'obstruant complètement, de sorte que les véhicules circulant normalement en sens inverse sont obligés de passer sur une voie qui ne leur est pas destinée, il crée un obstacle inattendu et une situation dangereuse de nature à surprendre les conducteurs venant en sens inverse et à causer un accident du genre de celui qui s'est produit. Dans un tel contexte, il n'est pas extraordinaire et imprévisible qu'un usager de la route, à la suite d'une inattention, d'un excès de vitesse ou d'une réaction inadéquate, ne parvienne pas à éviter l'obstacle. La cour cantonale n'a donc pas violé le droit fédéral en admettant l'existence d'un rapport de causalité adéquate.</w:t>
      </w:r>
    </w:p>
    <w:p>
      <w:r>
        <w:rPr>
          <w:b/>
        </w:rPr>
        <w:t>E. 2.2.3</w:t>
      </w:r>
    </w:p>
    <w:p>
      <w:r>
        <w:t>Le recourant reproche au jugement attaqué de n'avoir pas retenu que la faute du cycliste était interruptive de ce rapport de causalité adéquate.</w:t>
      </w:r>
    </w:p>
    <w:p>
      <w:r>
        <w:t>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131 IV 145 consid. 5.2 i.f., p. 148 et les arrêts cités).</w:t>
      </w:r>
    </w:p>
    <w:p>
      <w:r>
        <w:t>En l'occurrence, il est manifeste que l'intimé a commis une faute plus grave que la négligence légère de l'automobiliste, même si la question n'est pas de savoir si le premier a commis une faute plus grave, de gravité égale ou moins grave que celle du second, vu l'absence de compensation des fautes en droit pénal ( ATF 122 IV 17 consid. 2c/bb, p. 24 déjà cité).</w:t>
      </w:r>
    </w:p>
    <w:p>
      <w:r>
        <w:t>Comme l'a relevé de façon définitive la cour cantonale, le cycliste roulait à une allure de 53 à 59 km/h au moment où il a vu la voiture du recourant sur sa voie de circulation, soit à 42 mètres, alors qu'il était encore caché à l'observation de l'automobiliste, dont le champ ne s'étendait qu'à 34 mètres. D'après l'expertise, à ce moment-là, le cycliste ne pouvait pratiquement pas éviter la collision, ce qui eût été également le cas s'il avait roulé à 50 km/h, en raison de la déclivité de la route (de 6,8 à 6,9%), et des particularités du cycle dont la décélération est relativement faible. Aussi, même s'il constituait une faute importante aux règles de la circulation routière, en raison d'un excès de vitesse et d'une allure inadaptée aux conditions de la route - notamment d'une visibilité relativement courte à cause d'un virage qu'il devait franchir avant de se trouver sur le lieu de l'accident ( art. 32 al. 1 et 2 LCR ; art. 4 et 4a OCR ) - le comportement du cycliste n'était pas d'une imprévisibilité telle qu'il suffisait à interrompre le rapport de causalité adéquate. En effet, il ne s'imposait pas comme la cause la plus probable et la plus immédiate de l'accident, d'une façon si forte qu'il reléguerait à l'arrière-plan l'attitude de l'automobiliste, qui avait occupé la partie gauche de la chaussée, intégralement, alors qu'il aurait pu, par une accélération rapide après le passage des huit véhicules montants, libérer la voie de circulation empruntée par le cycliste, qui a commis lui-même une faute grave en n'évitant pas l'obstacle ou en étant incapable de s'arrêter avant de le toucher. Comme la faute du cycliste n'était pas exceptionnelle et totalement imprévisible, le comportement de la victime n'atteint pas l'intensité qui permet la rupture du rapport de causalité adéquate entre l'attitude du recourant et la survenance de l'événement dommageable pour le cycliste.</w:t>
      </w:r>
    </w:p>
    <w:p>
      <w:r>
        <w:rPr>
          <w:b/>
        </w:rPr>
        <w:t>E. 2.3</w:t>
      </w:r>
    </w:p>
    <w:p>
      <w:r>
        <w:t>L'atteinte importante au bassin subie par la victime, qui implique des séquelles à long terme consistant dans une grande cicatrice disgracieuse et des douleurs chroniques, justifie la qualification de lésions corporelles graves (sur cette notion: cf. Andreas Roth, Commentaire bâlois, n. 18 et 19 ad art. 122 CP ; Günter Stratenwerth/Guido Jenny, Schweizerisches Strafrecht, Besonderer Teil I, Berne 2003, § 3 n. 39) - ce qui n'est du reste pas contesté.</w:t>
      </w:r>
    </w:p>
    <w:p>
      <w:r>
        <w:t>Tous les éléments de l'infraction étant ainsi réunis, la condamnation du recourant pour lésions corporelles graves par négligence ( art. 125 al. 1 et 2 CP ) ne viole pas le droit fédéral. Le pourvoi doit être écarté sur ce point.</w:t>
      </w:r>
    </w:p>
    <w:p>
      <w:r>
        <w:rPr>
          <w:b/>
        </w:rPr>
        <w:t>E. 3</w:t>
      </w:r>
    </w:p>
    <w:p>
      <w:r>
        <w:t>C'est en vain que le recourant conteste également l'allocation des indemnités civiles. Lorsque les conditions d'application de l' art. 59 al. 1 LCR ne sont pas remplies, le juge, exerçant son pouvoir d'appréciation, ne peut libérer complètement le détenteur de son obligation de réparer une partie du dommage. Selon l' art. 59 al. 2 LCR , il convient de répartir en principe l'ensemble du dommage de 100% en fonction des différentes causes pertinentes en droit de la responsabilité, la jurisprudence précisant qu'une quote-part du dommage total doit être attribuée à chacun des facteurs causals pertinents, solution adoptée également par la majorité de la doctrine ( ATF 132 III 249 consid. 3.1 p. 251 à 253 et les références).</w:t>
      </w:r>
    </w:p>
    <w:p>
      <w:r>
        <w:t>En l'espèce, la cour cantonale a fixé à 40% la réduction des prétentions civiles de l'intimé en raison de la faute concomitante de celui-ci. Elle a considéré que le recourant avait commis une faute légère et que l'intimé s'était rendu coupable d'une faute de circulation qui avait contribué de façon non négligeable à la survenance de l'accident par un excès de vitesse et une allure inadaptée aux conditions locales. Ainsi, dans le cas particulier, le Tribunal cantonal a réparti le dommage à raison de 60% à la charge du recourant et de 40% à celle de l'intimé, ce qui peut s'expliquer par le fait que, malgré la légèreté de la faute de l'automobiliste, l'emploi d'un véhicule lourd entraîne un risque inhérent pouvant développer une incidence plus grande sur l'obligation de réparer le dommage. À l'opposé, comme l'intimé, en tant que cycliste, n'est pas soumis à la responsabilité causale, mais à la responsabilité pour faute des art. 41 ss CO , applicables par renvoi de l' art. 70 al. 1 LCR (André Bussy/Baptiste Rusconi, Code suisse de la circulation routière, 3ème éd., Lausanne 1996, n. 2.1 ad art. 70 LCR ), il n'y a pas lieu de prendre en considération de son côté le risque inhérent à l'usage d'une bicyclette - lequel peut occasionner, comme en l'espèce, des accidents lourds de conséquence pour son usager.</w:t>
      </w:r>
    </w:p>
    <w:p>
      <w:r>
        <w:t>Dans ces conditions, même si la répartition en fonction des différentes causes pertinentes de l'accident selon le droit de la responsabilité civile pouvait être conçue différemment, la décision cantonale n'apparaît pas manifestement inéquitable ni d'une injustice choquante, de sorte que le Tribunal fédéral ne peut s'écarter de la fixation de l'indemnité opérée par la cour cantonale, selon sa propre jurisprudence ( ATF 132 III 249 , consid. 3.5 p. 256 et les arrêts cités).</w:t>
      </w:r>
    </w:p>
    <w:p>
      <w:r>
        <w:t>Ces considérations commandent le rejet du pourvoi dans son ensemble, dans la mesure où il est recevable.</w:t>
      </w:r>
    </w:p>
    <w:p>
      <w:r>
        <w:rPr>
          <w:b/>
        </w:rPr>
        <w:t>E. 4</w:t>
      </w:r>
    </w:p>
    <w:p>
      <w:r>
        <w:t>Le recourant, qui succombe, supportera les frais de la procédure ( art. 278 al. 1 PPF ). Conformément à l' art. 278 al. 3 PPF , la partie civile, qui obtient gain de cause, se verra allouer une indemnité de 2'500 fr., dont l'intimé remboursera la totalité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