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6S.390/2000 vom 5. September 2000</w:t>
      </w:r>
    </w:p>
    <w:p>
      <w:r>
        <w:t>Bundesgericht, 2000-09-05, FR</w:t>
      </w:r>
    </w:p>
    <w:p>
      <w:r>
        <w:rPr>
          <w:b/>
        </w:rPr>
        <w:t xml:space="preserve">Quelle: </w:t>
      </w:r>
      <w:r>
        <w:t>https://mcp.opencaselaw.ch/entscheid/bger_6S.390_2000</w:t>
      </w:r>
    </w:p>
    <w:p>
      <w:r>
        <w:t>FR: TF 6S.390/2000 du 5 septembre 2000</w:t>
      </w:r>
    </w:p>
    <w:p>
      <w:r>
        <w:t>IT: TF 6S.390/2000 del 5 settembre 2000</w:t>
      </w:r>
    </w:p>
    <w:p>
      <w:pPr>
        <w:pStyle w:val="Heading2"/>
      </w:pPr>
      <w:r>
        <w:t>Regeste</w:t>
      </w:r>
    </w:p>
    <w:p>
      <w:r>
        <w:t>Infractions</w:t>
      </w:r>
    </w:p>
    <w:p>
      <w:pPr>
        <w:pStyle w:val="Heading2"/>
      </w:pPr>
      <w:r>
        <w:t>Erwägungen</w:t>
      </w:r>
    </w:p>
    <w:p>
      <w:r>
        <w:rPr>
          <w:b/>
        </w:rPr>
        <w:t>E. 1</w:t>
      </w:r>
    </w:p>
    <w:p>
      <w:r>
        <w:t>Saisi d'un pourvoi en nullité, le Tribunal fédéral n'est pas lié par les motifs invoqués dans le pourvoi, mais ne peut pas aller au-delà des conclusions du recourant ( art. 277bis PPF ). Les conclusions devant être interprétées à la lumière de leur motivation, celle-ci circonscrit les points litigieux que le Tribunal fédéral peut examiner ( ATF 124 IV 53 consid. 1; 123 IV 125 consid. 1). Comme le présent pourvoi ne porte que sur l' art. 20 CP relatif à l'erreur de droit, seule cette question peut être examinée. Statuant sur un pourvoi, le Tribunal fédéral est en revanche lié par les constatations de fait de l'autorité cantonale ( art. 277bis al. 1 PPF ), de sorte que le recourant n'est pas habilité à les remettre en cause ( art. 273 al. 1 let. b PPF ). Dans la mesure où il s'écarte de l'état de fait retenu dans la décision attaquée, son argumentation ne peut donc être prise en considération. Le pourvoi en nullité est une voie de recours qui provoque le contrôle de l'application du droit fédéral à un état de fait arrêté définitivement par l'autorité cantonale ( ATF 124 IV 81 consid. 2a).</w:t>
      </w:r>
    </w:p>
    <w:p>
      <w:r>
        <w:rPr>
          <w:b/>
        </w:rPr>
        <w:t>E. 2</w:t>
      </w:r>
    </w:p>
    <w:p>
      <w:r>
        <w:t>A teneur de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L' art. 20 CP ne s'applique qu'à l'erreur sur l'illicéité d'un comportement déterminé; ne se croit en droit d'agir au sens de cette disposition que celui qui pense que ce qu'il fait est licite, que son comportement n'est pas interdit; il ne suffit en revanche pas qu'il pense que son comportement n'est pas punissable ( ATF 104 IV 217 consid. 2; Günter Stratenwerth, Schweizerisches Strafrecht, Allg. Teil I, 2e éd., Berne 1996, § 11 n. 47 ss, p. 276 ss; Stefan Trechsel/Peter Noll, Schweizerisches Strafrecht, Allg. Teil I, 5e éd., Zurich 1998, p. 160; Jörg Rehberg, Strafrecht I, 6e éd., Zurich 1996, § 25 n. 2.1, p. 200 s.; Andreas Donatsch, Unrechtsbewusstsein und Verbotsirrtum, in RPS 102/1985 p. 17 ss). L'auteur d'une infraction qui est conscient du caractère illicite de son acte, mais qui, à tort, pense échapper à une condamnation en vertu de l' art. 27 CP (responsabilité de la presse) ne peut donc pas se prévaloir de l'erreur de droit. L' art. 27 CP n'institue pas un fait justificatif rendant l'acte licite, mais uniquement une cause d'exclusion de peine ( ATF 85 IV 120 ), une limitation de la poursuite d'actes illicites en faveur de personnes participant à un délit commis par voie de presse; celui qui croit erronément qu'il peut se prévaloir de cette disposition ne se trompe donc pas sur le caractère illicite de son acte, mais uniquement sur le fait qu'il puisse être poursuivi de ce chef. L'arrêt attaqué constate que le recourant savait que le fait d'offrir l'ouvrage litigieux à la vente pouvait tomber sous le coup de l' art. 261bis CP . Cette constatation de fait scelle le sort du grief, quand bien même le recourant, avec des raisons suffisantes, aurait cru pouvoir bénéficier de l'impunité en vertu de l' art. 27 CP .</w:t>
      </w:r>
    </w:p>
    <w:p>
      <w:r>
        <w:rPr>
          <w:b/>
        </w:rPr>
        <w:t>E. 3</w:t>
      </w:r>
    </w:p>
    <w:p>
      <w:r>
        <w:t>Le pourvoi doit ainsi être rejeté. Comme il était d'emblée voué à l'échec, l'assistance judiciaire doit être refusée ( art. 152 al. 1 OJ ). Le recourant, qui succombe, supportera les frais de la procédure ( art. 278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