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6S.379/2004 vom 29. November 2004</w:t>
      </w:r>
    </w:p>
    <w:p>
      <w:r>
        <w:t>Bundesgericht, 2004-11-29, DE</w:t>
      </w:r>
    </w:p>
    <w:p>
      <w:r>
        <w:rPr>
          <w:b/>
        </w:rPr>
        <w:t xml:space="preserve">Quelle: </w:t>
      </w:r>
      <w:r>
        <w:t>https://mcp.opencaselaw.ch/entscheid/bger_6S.379_2004</w:t>
      </w:r>
    </w:p>
    <w:p>
      <w:r>
        <w:t>FR: TF 6S.379/2004 du 29 novembre 2004</w:t>
      </w:r>
    </w:p>
    <w:p>
      <w:r>
        <w:t>IT: TF 6S.379/2004 del 29 novembre 2004</w:t>
      </w:r>
    </w:p>
    <w:p>
      <w:pPr>
        <w:pStyle w:val="Heading2"/>
      </w:pPr>
      <w:r>
        <w:t>Regeste</w:t>
      </w:r>
    </w:p>
    <w:p>
      <w:r>
        <w:t>Betrug | Straftaten</w:t>
      </w:r>
    </w:p>
    <w:p>
      <w:pPr>
        <w:pStyle w:val="Heading2"/>
      </w:pPr>
      <w:r>
        <w:t>Erwägungen</w:t>
      </w:r>
    </w:p>
    <w:p>
      <w:r>
        <w:rPr>
          <w:b/>
        </w:rPr>
        <w:t>E. 1</w:t>
      </w:r>
    </w:p>
    <w:p>
      <w:r>
        <w:t>Der Tatbestand des Betrugs gemäss Art. 146 Abs. 1 StGB erfordert unter anderem eine arglistige Täuschung. Bei der Prüfung der Arglist ist der jeweiligen Lage und Schutzbedürftigkeit wie auch der besonderen Fachkenntnis und Geschäftserfahrung des Betroffenen Rechnung zu tragen, soweit der Täter diese kennt und ausnützt. Betrug scheidet aus, wenn das Opfer sich mit einem Mindestmass an Aufmerksamkeit selbst hätte schützen können, es mithin die grundlegendsten Vorsichtsmassnahmen leichtfertig nicht beachtet hat ( BGE 126 IV 165 E. 2a; 122 IV 146 E. 3a je mit Hinweisen). In diesem Sinne bejaht die Rechtsprechung Arglist, wenn der Täter ein ganzes Lügengebäude errichtet oder sich besonderer Machenschaften oder Kniffe (manoeuvres frauduleuses, mise en scène)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 BGE 128 IV 18 E. 3a; 126 IV 165 E. 2a; 125 IV 124 E. 3; 122 IV 246 E. 3a).</w:t>
      </w:r>
    </w:p>
    <w:p>
      <w:r>
        <w:rPr>
          <w:b/>
        </w:rPr>
        <w:t>E. 2</w:t>
      </w:r>
    </w:p>
    <w:p>
      <w:r>
        <w:t>Dem Beschwerdeführer war es gelungen, die Ärzte - darunter einen Spezialisten, der ein ausführliches Gutachten erstellte - bezüglich seines Gesundheitszustands hinters Licht zu führen. Gestützt auf deren Atteste verlangte er von den Versicherungsgesellschaften auch mittels eines Anwalts Versicherungsleistungen wegen Arbeitsunfähig-keit. Bei einem Gespräch mit dem Sachbearbeiter einer Versi-cherungsgesellschaft erklärte er, von seinen Ersparnissen leben zu müssen. In Tat und Wahrheit führte er ohne ernsthafte Beschwerden seine Arbeitstätigkeit im bisherigen Umfang fort. Der Beschwerde-führer macht geltend, Arglist sei zu verneinen, weil es ein Leichtes gewesen wäre, seine Angaben zu überprüfen. Das trifft offensichtlich nicht zu. Erst aufgrund einer mehrtägigen Observation und der im Strafverfahren durchgeführten Buchprüfung liess sich ermitteln, dass der Beschwerdeführer weiterhin - und zwar im bisherigen Umfang - erwerbstätig geblieben war. Der Einwand des Beschwerdeführers, durch einen Besuch zu den üblichen Geschäftszeiten oder mit einer fingierten Auftragserteilung zu einer Storenreparatur hätte seine Darstellung überprüft werden können, geht fehl. Selbst nach Aufdeckung seiner Erwerbstätigkeit durch die Observation hielt er hartnäckig daran fest, nur unter Schmerzen und dank Medikamenten sowie unter Beizug einer Drittperson unter grösster Mühe Aufträge ausgeführt zu haben, um seine Existenzgrundlage zu retten. Es ist davon auszugehen, dass der Beschwerdeführer auch zu derartigen Ausreden gegriffen hätte, wenn die Versicherungen ihn mit dem Ergebnis einer Überprüfung mittels den angeführten Massnahmen konfrontiert hätten. Da selbst im Strafverfahren einiger Aufwand betrieben werden musste, die Ausflüchte des Beschwerdeführers zu widerlegen, kann nicht die Rede davon sein, dass die geschädigten Versicherungsgesellschaften die erforderliche Aufmerksamkeit bei der Auszahlung der Versicherungsleistungen hätten vermissen lassen. Sie haben vielmehr auf überzeugende ärztliche Atteste und die nur schwer zu überprüfende Sachdarstellung des Beschwerdeführers abgestellt. Die Vorinstanz hat somit, ohne Bundesrecht zu verletzen, das Tatbestandsmerkmal der Arglist bejaht.</w:t>
      </w:r>
    </w:p>
    <w:p>
      <w:r>
        <w:rPr>
          <w:b/>
        </w:rPr>
        <w:t>E. 3</w:t>
      </w:r>
    </w:p>
    <w:p>
      <w:r>
        <w:t>Die Nichtigkeitsbeschwerde erweist sich demnach als unbegründet und ist abzuweisen. Entsprechend diesem Verfahrensausgang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