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6S.36/2002 vom 7. August 2000</w:t>
      </w:r>
    </w:p>
    <w:p>
      <w:r>
        <w:t>Bundesgericht, 2000-08-07, FR</w:t>
      </w:r>
    </w:p>
    <w:p>
      <w:r>
        <w:rPr>
          <w:b/>
        </w:rPr>
        <w:t xml:space="preserve">Quelle: </w:t>
      </w:r>
      <w:r>
        <w:t>https://mcp.opencaselaw.ch/entscheid/bger_6S.36_2002</w:t>
      </w:r>
    </w:p>
    <w:p>
      <w:r>
        <w:t>FR: TF 6S.36/2002 du 7 août 2000</w:t>
      </w:r>
    </w:p>
    <w:p>
      <w:r>
        <w:t>IT: TF 6S.36/2002 del 7 agosto 2000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décembre 1999; ils sont convenus d'attribuer la garde</w:t>
      </w:r>
    </w:p>
    <w:p>
      <w:r>
        <w:t>des enfants à l'épouse, le mari s'engageant à verser pour</w:t>
      </w:r>
    </w:p>
    <w:p>
      <w:r>
        <w:t>l'entretien de celle-ci et de ses enfants une contribu-</w:t>
      </w:r>
    </w:p>
    <w:p>
      <w:r>
        <w:t>tion globale de 4'500 francs par mois. Le mari a versé ce</w:t>
      </w:r>
    </w:p>
    <w:p>
      <w:r>
        <w:t>montant jusqu'au mois de janvier 2000 inclus. Au mois de</w:t>
      </w:r>
    </w:p>
    <w:p>
      <w:r>
        <w:t>décembre 1999, les deux aînés sont allés vivre chez lui.</w:t>
      </w:r>
    </w:p>
    <w:p>
      <w:r>
        <w:t>Le 6 janvier 2000, l'épouse a sollicité des mesures</w:t>
      </w:r>
    </w:p>
    <w:p>
      <w:r>
        <w:t>protectrices de l'union conjugale. Par ordonnance du 7</w:t>
      </w:r>
    </w:p>
    <w:p>
      <w:r>
        <w:t>août 2000, le Président du Tribunal civil a attribué la</w:t>
      </w:r>
    </w:p>
    <w:p>
      <w:r>
        <w:t>garde sur les deux aînés au mari et celle sur les deux</w:t>
      </w:r>
    </w:p>
    <w:p>
      <w:r>
        <w:t>cadets à l'épouse. Il a condamné le mari à payer dès le</w:t>
      </w:r>
    </w:p>
    <w:p>
      <w:r>
        <w:t>1er février 2000, des contributions mensuelles d'entre-</w:t>
      </w:r>
    </w:p>
    <w:p>
      <w:r>
        <w:t>tien de 900 francs pour chacun des deux cadets, alloca-</w:t>
      </w:r>
    </w:p>
    <w:p>
      <w:r>
        <w:t>tions familiales non comprises, et de 2'700 francs pour</w:t>
      </w:r>
    </w:p>
    <w:p>
      <w:r>
        <w:t>l'épouse.</w:t>
      </w:r>
    </w:p>
    <w:p>
      <w:r>
        <w:t>B.- En septembre 2000, l'épouse a déposé plainte</w:t>
      </w:r>
    </w:p>
    <w:p>
      <w:r>
        <w:t>pénale contre son mari pour violation d'une obligation</w:t>
      </w:r>
    </w:p>
    <w:p>
      <w:r>
        <w:t>d'entretien, lui reprochant de ne lui avoir versé qu'un</w:t>
      </w:r>
    </w:p>
    <w:p>
      <w:r>
        <w:t>acompte de 590 francs pour le mois de février 2000 et de</w:t>
      </w:r>
    </w:p>
    <w:p>
      <w:r>
        <w:t>n'avoir plus rien payé ultérieurement.</w:t>
      </w:r>
    </w:p>
    <w:p>
      <w:r>
        <w:t>Le Tribunal de police a condamné le mari pour</w:t>
      </w:r>
    </w:p>
    <w:p>
      <w:r>
        <w:t>violation d'une obligation d'entretien, à trois mois</w:t>
      </w:r>
    </w:p>
    <w:p>
      <w:r>
        <w:t>d'emprisonnement avec sursis pendant deux ans.</w:t>
      </w:r>
    </w:p>
    <w:p>
      <w:r>
        <w:t>La Cour de cassation pénale du Tribunal cantonal</w:t>
      </w:r>
    </w:p>
    <w:p>
      <w:r>
        <w:t>neuchâtelois a confirmé ce jugement.</w:t>
      </w:r>
    </w:p>
    <w:p>
      <w:r>
        <w:t>C.- Le mari se pourvoit en nullité au Tribunal</w:t>
      </w:r>
    </w:p>
    <w:p>
      <w:r>
        <w:t>fédéral contre cet arrêt, invoquant une fausse appli-</w:t>
      </w:r>
    </w:p>
    <w:p>
      <w:r>
        <w:t>cation de l' art. 217 CP .</w:t>
      </w:r>
    </w:p>
    <w:p>
      <w:r>
        <w:t>C o n s i d é r a n t en d r o i t :</w:t>
      </w:r>
    </w:p>
    <w:p>
      <w:r>
        <w:t>2.- Au moment des faits, le recourant était séparé</w:t>
      </w:r>
    </w:p>
    <w:p>
      <w:r>
        <w:t>de sa femme dans le cadre d'une procédure de mesures</w:t>
      </w:r>
    </w:p>
    <w:p>
      <w:r>
        <w:t>protectrices de l'union conjugale. Etait alors échue la</w:t>
      </w:r>
    </w:p>
    <w:p>
      <w:r>
        <w:t>convention préalablement signée par les parties sur les</w:t>
      </w:r>
    </w:p>
    <w:p>
      <w:r>
        <w:t>conséquences de leur séparation, et les obligations d'en-</w:t>
      </w:r>
    </w:p>
    <w:p>
      <w:r>
        <w:t>tretien du recourant n'étaient pas encore fixées judi-</w:t>
      </w:r>
    </w:p>
    <w:p>
      <w:r>
        <w:t>ciairement. Selon la cour cantonale, l'absence de tout</w:t>
      </w:r>
    </w:p>
    <w:p>
      <w:r>
        <w:t>prononcé judiciaire et de toute convention privée ne fait</w:t>
      </w:r>
    </w:p>
    <w:p>
      <w:r>
        <w:t>cependant pas obstacle à une condamnation du recourant en</w:t>
      </w:r>
    </w:p>
    <w:p>
      <w:r>
        <w:t>vertu de l' art. 217 CP .</w:t>
      </w:r>
    </w:p>
    <w:p>
      <w:r>
        <w:t>a) Cette disposition punit celui qui n'aura pas</w:t>
      </w:r>
    </w:p>
    <w:p>
      <w:r>
        <w:t>fourni les aliments ou les subsides qu'il doit en vertu</w:t>
      </w:r>
    </w:p>
    <w:p>
      <w:r>
        <w:t>du droit de la famille, quoiqu'il en eût les moyens ou</w:t>
      </w:r>
    </w:p>
    <w:p>
      <w:r>
        <w:t>pût les avoir. Mais elle ne précise pas si le devoir</w:t>
      </w:r>
    </w:p>
    <w:p>
      <w:r>
        <w:t>d'entretien doit résulter d'une décision du juge civil ou</w:t>
      </w:r>
    </w:p>
    <w:p>
      <w:r>
        <w:t>d'une convention entre parties ou si le juge pénal est en</w:t>
      </w:r>
    </w:p>
    <w:p>
      <w:r>
        <w:t>droit de trancher lui-même, à titre préjudiciel et au</w:t>
      </w:r>
    </w:p>
    <w:p>
      <w:r>
        <w:t>regard des dispositions du droit de la famille, la ques-</w:t>
      </w:r>
    </w:p>
    <w:p>
      <w:r>
        <w:t>tion de savoir quelles prestations le débiteur aurait dû</w:t>
      </w:r>
    </w:p>
    <w:p>
      <w:r>
        <w:t>fournir.</w:t>
      </w:r>
    </w:p>
    <w:p>
      <w:r>
        <w:t>aa) Selon la jurisprudence, l'inexécution inten-</w:t>
      </w:r>
    </w:p>
    <w:p>
      <w:r>
        <w:t>tionnelle de l'obligation d'entretien entre époux est</w:t>
      </w:r>
    </w:p>
    <w:p>
      <w:r>
        <w:t>punissable, même si les prestations n'ont pas été fixées</w:t>
      </w:r>
    </w:p>
    <w:p>
      <w:r>
        <w:t>au préalable par le juge civil, lorsque les époux font</w:t>
      </w:r>
    </w:p>
    <w:p>
      <w:r>
        <w:t>ménage commun ( ATF 70 IV 166 ) ou lorsque le débiteur a</w:t>
      </w:r>
    </w:p>
    <w:p>
      <w:r>
        <w:t>quitté le domicile conjugal sans autorisation du juge</w:t>
      </w:r>
    </w:p>
    <w:p>
      <w:r>
        <w:t>( ATF 74 IV 159 ). En revanche, si les conjoints sont en</w:t>
      </w:r>
    </w:p>
    <w:p>
      <w:r>
        <w:t>instance de divorce, l'étendue du devoir d'entretien doit</w:t>
      </w:r>
    </w:p>
    <w:p>
      <w:r>
        <w:t>être déterminée par un prononcé judiciaire ou un accord</w:t>
      </w:r>
    </w:p>
    <w:p>
      <w:r>
        <w:t>entre parties; la jurisprudence explique que, dans cette</w:t>
      </w:r>
    </w:p>
    <w:p>
      <w:r>
        <w:t>hypothèse, les prestations en argent remplacent l'entre-</w:t>
      </w:r>
    </w:p>
    <w:p>
      <w:r>
        <w:t>tien en nature et les circonstances de fait exigent sou-</w:t>
      </w:r>
    </w:p>
    <w:p>
      <w:r>
        <w:t>vent une répartition des charges ( ATF 74 IV 52 , 159; 76</w:t>
      </w:r>
    </w:p>
    <w:p>
      <w:r>
        <w:t>IV 118; 89 IV 22 ). Toutefois, même en cas de procédure en</w:t>
      </w:r>
    </w:p>
    <w:p>
      <w:r>
        <w:t>divorce, le débiteur pourra être puni selon l' art. 217 CP</w:t>
      </w:r>
    </w:p>
    <w:p>
      <w:r>
        <w:t>sans que le montant des prestations dues ait été fixé au</w:t>
      </w:r>
    </w:p>
    <w:p>
      <w:r>
        <w:t>préalable lorsqu'il ne paye rien ou ne s'acquitte pas</w:t>
      </w:r>
    </w:p>
    <w:p>
      <w:r>
        <w:t>d'un montant que lui-même estime dû ( ATF 89 IV 22 ). De</w:t>
      </w:r>
    </w:p>
    <w:p>
      <w:r>
        <w:t>même, celui qui n'a aucune raison de douter de sa pater-</w:t>
      </w:r>
    </w:p>
    <w:p>
      <w:r>
        <w:t>nité et ne paye rien, bien qu'il y ait été invité et</w:t>
      </w:r>
    </w:p>
    <w:p>
      <w:r>
        <w:t>qu'il soit en mesure de verser une contribution, se rend</w:t>
      </w:r>
    </w:p>
    <w:p>
      <w:r>
        <w:t>coupable de violation d'une obligation d'entretien, au</w:t>
      </w:r>
    </w:p>
    <w:p>
      <w:r>
        <w:t>sens de l' art. 217 CP , même en l'absence d'une convention</w:t>
      </w:r>
    </w:p>
    <w:p>
      <w:r>
        <w:t>ou d'un jugement ( ATF 91 IV 226 ).</w:t>
      </w:r>
    </w:p>
    <w:p>
      <w:r>
        <w:t>bb) La doctrine admet en règle générale l'applica-</w:t>
      </w:r>
    </w:p>
    <w:p>
      <w:r>
        <w:t>tion de l' art. 217 CP indépendamment de tout prononcé</w:t>
      </w:r>
    </w:p>
    <w:p>
      <w:r>
        <w:t>judiciaire et de toute convention privée. Elle parle</w:t>
      </w:r>
    </w:p>
    <w:p>
      <w:r>
        <w:t>alors de méthode directe de fixation de la contribution</w:t>
      </w:r>
    </w:p>
    <w:p>
      <w:r>
        <w:t>d'entretien; cette méthode s'oppose à la méthode indi-</w:t>
      </w:r>
    </w:p>
    <w:p>
      <w:r>
        <w:t>recte, qui suppose que l'étendue de la contribution ait</w:t>
      </w:r>
    </w:p>
    <w:p>
      <w:r>
        <w:t>été fixée sur le plan civil.</w:t>
      </w:r>
    </w:p>
    <w:p>
      <w:r>
        <w:t>Ainsi, suivant la jurisprudence, Broder, Rehberg et</w:t>
      </w:r>
    </w:p>
    <w:p>
      <w:r>
        <w:t>J. A. Müller distinguent selon le type d'obligation</w:t>
      </w:r>
    </w:p>
    <w:p>
      <w:r>
        <w:t>d'entretien. Ils appliquent la méthode directe et</w:t>
      </w:r>
    </w:p>
    <w:p>
      <w:r>
        <w:t>n'exigent ni prononcé ni convention en cas d'obligation</w:t>
      </w:r>
    </w:p>
    <w:p>
      <w:r>
        <w:t>d'entretien entre époux, que les époux fassent ménage</w:t>
      </w:r>
    </w:p>
    <w:p>
      <w:r>
        <w:t>commun ou qu'ils aient cessé de vivre ensemble; dans ce</w:t>
      </w:r>
    </w:p>
    <w:p>
      <w:r>
        <w:t>dernier cas, le créancier doit cependant pouvoir requérir</w:t>
      </w:r>
    </w:p>
    <w:p>
      <w:r>
        <w:t>des mesures protectrices de l'union conjugale ( art. 175</w:t>
      </w:r>
    </w:p>
    <w:p>
      <w:r>
        <w:t>et 176 al. 2 CC ). Aux yeux de Müller, il est important</w:t>
      </w:r>
    </w:p>
    <w:p>
      <w:r>
        <w:t>que le juge pénal puisse appliquer la méthode directe,</w:t>
      </w:r>
    </w:p>
    <w:p>
      <w:r>
        <w:t>car il arrive souvent que le prononcé civil traîne et que</w:t>
      </w:r>
    </w:p>
    <w:p>
      <w:r>
        <w:t>le débiteur refuse de verser quelque chose tant qu'une</w:t>
      </w:r>
    </w:p>
    <w:p>
      <w:r>
        <w:t>pension n'est pas fixée. Broder et Rehberg relèvent que</w:t>
      </w:r>
    </w:p>
    <w:p>
      <w:r>
        <w:t>le nouveau droit du mariage et de la filiation, qui</w:t>
      </w:r>
    </w:p>
    <w:p>
      <w:r>
        <w:t>laisse aux époux la liberté de fixer la nature de leurs</w:t>
      </w:r>
    </w:p>
    <w:p>
      <w:r>
        <w:t>contributions, pourra cependant entraîner, pour le juge</w:t>
      </w:r>
    </w:p>
    <w:p>
      <w:r>
        <w:t>pénal, des difficultés de preuve. En conformité avec la</w:t>
      </w:r>
    </w:p>
    <w:p>
      <w:r>
        <w:t>jurisprudence, ces trois auteurs considèrent que, en cas</w:t>
      </w:r>
    </w:p>
    <w:p>
      <w:r>
        <w:t>de procédure en divorce ou en séparation de corps, le</w:t>
      </w:r>
    </w:p>
    <w:p>
      <w:r>
        <w:t>débiteur ne pourra en revanche être puni selon l'art. 217</w:t>
      </w:r>
    </w:p>
    <w:p>
      <w:r>
        <w:t>que s'il existe un jugement ou une convention qui</w:t>
      </w:r>
    </w:p>
    <w:p>
      <w:r>
        <w:t>fixent l'étendue de l'obligation d'entretien. Enfin, ils</w:t>
      </w:r>
    </w:p>
    <w:p>
      <w:r>
        <w:t>appliquent en principe la méthode directe à l'obligation</w:t>
      </w:r>
    </w:p>
    <w:p>
      <w:r>
        <w:t>d'entretien des parents à l'égard de l'enfant. Ils di-</w:t>
      </w:r>
    </w:p>
    <w:p>
      <w:r>
        <w:t>vergent d'opinion en cas d'introduction d'une action en</w:t>
      </w:r>
    </w:p>
    <w:p>
      <w:r>
        <w:t>divorce: pour Broder et Rehberg, il faudra en principe</w:t>
      </w:r>
    </w:p>
    <w:p>
      <w:r>
        <w:t>un prononcé judiciaire ou une convention, alors que,</w:t>
      </w:r>
    </w:p>
    <w:p>
      <w:r>
        <w:t>selon J. A. Müller, l' art. 217 CP est applicable même</w:t>
      </w:r>
    </w:p>
    <w:p>
      <w:r>
        <w:t>lorsque le juge n'a pas fixé de pension (Rehberg,</w:t>
      </w:r>
    </w:p>
    <w:p>
      <w:r>
        <w:t>Strafrecht IV, 2e éd., Zurich 1996, p. 5 ss; Urs</w:t>
      </w:r>
    </w:p>
    <w:p>
      <w:r>
        <w:t>Broder, Delikte gegen die Familie, insbesondere</w:t>
      </w:r>
    </w:p>
    <w:p>
      <w:r>
        <w:t>Vernachlässigung von Unterhaltspflichten, in RPS</w:t>
      </w:r>
    </w:p>
    <w:p>
      <w:r>
        <w:t>109/1992, p. 290 ss; Jakob A. Müller, Die</w:t>
      </w:r>
    </w:p>
    <w:p>
      <w:r>
        <w:t>Vernachlässigung von Unterstützungspflichten im Sinne von</w:t>
      </w:r>
    </w:p>
    <w:p>
      <w:r>
        <w:t>Art. 217 StrGB, in RPS 82/1966 p. 254 ss).</w:t>
      </w:r>
    </w:p>
    <w:p>
      <w:r>
        <w:t>Albrecht opte, de manière générale, pour la méthode</w:t>
      </w:r>
    </w:p>
    <w:p>
      <w:r>
        <w:t>directe. Il relève cependant que l'application de cette</w:t>
      </w:r>
    </w:p>
    <w:p>
      <w:r>
        <w:t>méthode est limitée en pratique, dès lors qu'il sera</w:t>
      </w:r>
    </w:p>
    <w:p>
      <w:r>
        <w:t>difficile de prouver l'intention du débiteur. Celle-ci ne</w:t>
      </w:r>
    </w:p>
    <w:p>
      <w:r>
        <w:t>pourra être établie que si l'obligation légale est mani-</w:t>
      </w:r>
    </w:p>
    <w:p>
      <w:r>
        <w:t>feste et qu'elle s'impose au débiteur; tel sera notamment</w:t>
      </w:r>
    </w:p>
    <w:p>
      <w:r>
        <w:t>le cas lorsque l'époux quitte la maison familiale sans</w:t>
      </w:r>
    </w:p>
    <w:p>
      <w:r>
        <w:t>s'occuper de l'entretien de sa femme et de ses enfants</w:t>
      </w:r>
    </w:p>
    <w:p>
      <w:r>
        <w:t>(Jenny/Schubarth/Albrecht, Kommentar zum schweizerischen</w:t>
      </w:r>
    </w:p>
    <w:p>
      <w:r>
        <w:t>Strafrecht, vol. 4, Berne 1997, p. 173 ss, 188). Pour</w:t>
      </w:r>
    </w:p>
    <w:p>
      <w:r>
        <w:t>Stratenwerth, le choix entre la méthode directe et la</w:t>
      </w:r>
    </w:p>
    <w:p>
      <w:r>
        <w:t>méthode indirecte dépend du point de savoir si, au vu des</w:t>
      </w:r>
    </w:p>
    <w:p>
      <w:r>
        <w:t>circonstances, la violation de l'obligation apparaît</w:t>
      </w:r>
    </w:p>
    <w:p>
      <w:r>
        <w:t>comme évidente. Il admet que tel sera le cas lorsque</w:t>
      </w:r>
    </w:p>
    <w:p>
      <w:r>
        <w:t>l'obligation d'entretien ne fait aucun doute et que le</w:t>
      </w:r>
    </w:p>
    <w:p>
      <w:r>
        <w:t>débiteur ne verse rien (Stratenwerth, Schweizerisches</w:t>
      </w:r>
    </w:p>
    <w:p>
      <w:r>
        <w:t>Strafrecht, Besonderer Teil II, 5e éd., Berne 2000,</w:t>
      </w:r>
    </w:p>
    <w:p>
      <w:r>
        <w:t>n. 29 ad paragraphe 26, p. 25 s.). Enfin, Corboz admet</w:t>
      </w:r>
    </w:p>
    <w:p>
      <w:r>
        <w:t>aussi le recours à la méthode directe, précisant que</w:t>
      </w:r>
    </w:p>
    <w:p>
      <w:r>
        <w:t>l'emploi de cette méthode est restreint par l'intention</w:t>
      </w:r>
    </w:p>
    <w:p>
      <w:r>
        <w:t>que requiert l'infraction (Corboz, Les principales</w:t>
      </w:r>
    </w:p>
    <w:p>
      <w:r>
        <w:t>infractions, vol. I, Berne 1997, p. 291 s.).</w:t>
      </w:r>
    </w:p>
    <w:p>
      <w:r>
        <w:t>b) Il ressort des travaux préparatoires que le</w:t>
      </w:r>
    </w:p>
    <w:p>
      <w:r>
        <w:t>législateur n'a pas voulu subordonner l'application de</w:t>
      </w:r>
    </w:p>
    <w:p>
      <w:r>
        <w:t>l' art. 217 CP à l'existence d'une constatation judi-</w:t>
      </w:r>
    </w:p>
    <w:p>
      <w:r>
        <w:t>ciaire. En effet, la Commission du Conseil national</w:t>
      </w:r>
    </w:p>
    <w:p>
      <w:r>
        <w:t>pour la préparation du Code pénal a expressément re-</w:t>
      </w:r>
    </w:p>
    <w:p>
      <w:r>
        <w:t>noncé à préciser que l'obligation d'entretien devait</w:t>
      </w:r>
    </w:p>
    <w:p>
      <w:r>
        <w:t>être constatée par une décision judiciaire ou admi-</w:t>
      </w:r>
    </w:p>
    <w:p>
      <w:r>
        <w:t>nistrative (voir les procès-verbaux de la Commission</w:t>
      </w:r>
    </w:p>
    <w:p>
      <w:r>
        <w:t>du Conseil national pour la préparation du Code pénal,</w:t>
      </w:r>
    </w:p>
    <w:p>
      <w:r>
        <w:t>VIe session, 2-10 septembre 1926, p. 5). En outre, si</w:t>
      </w:r>
    </w:p>
    <w:p>
      <w:r>
        <w:t>l'on subordonnait la poursuite pénale à l'existence</w:t>
      </w:r>
    </w:p>
    <w:p>
      <w:r>
        <w:t>d'une décision judiciaire ou d'un accord entre parties,</w:t>
      </w:r>
    </w:p>
    <w:p>
      <w:r>
        <w:t>l' art. 217 CP tendrait davantage à protéger ceux-ci</w:t>
      </w:r>
    </w:p>
    <w:p>
      <w:r>
        <w:t>que la famille.</w:t>
      </w:r>
    </w:p>
    <w:p>
      <w:r>
        <w:t>Aussi, suivant la doctrine majoritaire et en</w:t>
      </w:r>
    </w:p>
    <w:p>
      <w:r>
        <w:t>précision de la jurisprudence, faut-il admettre l'ap-</w:t>
      </w:r>
    </w:p>
    <w:p>
      <w:r>
        <w:t>plication de l' art. 217 CP , même en l'absence de tout</w:t>
      </w:r>
    </w:p>
    <w:p>
      <w:r>
        <w:t>prononcé judiciaire et de toute convention privée.</w:t>
      </w:r>
    </w:p>
    <w:p>
      <w:r>
        <w:t>L'auteur sera punissable s'il ne fournit pas les aliments</w:t>
      </w:r>
    </w:p>
    <w:p>
      <w:r>
        <w:t>ou les subsides dus en vertu du droit de la famille. Une</w:t>
      </w:r>
    </w:p>
    <w:p>
      <w:r>
        <w:t>constatation judiciaire préalable ne sera pas nécessaire</w:t>
      </w:r>
    </w:p>
    <w:p>
      <w:r>
        <w:t>dans la mesure où l'obligation d'entretien découle</w:t>
      </w:r>
    </w:p>
    <w:p>
      <w:r>
        <w:t>directement de la loi. Un jugement ou une convention</w:t>
      </w:r>
    </w:p>
    <w:p>
      <w:r>
        <w:t>permettra toutefois souvent de concrétiser l'obligation,</w:t>
      </w:r>
    </w:p>
    <w:p>
      <w:r>
        <w:t>et rendra plus facile l'établissement des faits. Ainsi,</w:t>
      </w:r>
    </w:p>
    <w:p>
      <w:r>
        <w:t>l'intention de ne pas payer le montant dû sera en règle</w:t>
      </w:r>
    </w:p>
    <w:p>
      <w:r>
        <w:t>générale donnée si l'obligation a été fixée dans un</w:t>
      </w:r>
    </w:p>
    <w:p>
      <w:r>
        <w:t>jugement ou une convention car elle sera alors connue du</w:t>
      </w:r>
    </w:p>
    <w:p>
      <w:r>
        <w:t>débiteur. En revanche, l'intention du débiteur sera plus</w:t>
      </w:r>
    </w:p>
    <w:p>
      <w:r>
        <w:t>difficile à établir en l'absence de toute décision et de</w:t>
      </w:r>
    </w:p>
    <w:p>
      <w:r>
        <w:t>tout accord; il n'en reste pas moins que le juge pourra</w:t>
      </w:r>
    </w:p>
    <w:p>
      <w:r>
        <w:t>prouver l'intention au moins dans les cas patents,</w:t>
      </w:r>
    </w:p>
    <w:p>
      <w:r>
        <w:t>notamment lorsque le débiteur n'aura rien payé ou aura</w:t>
      </w:r>
    </w:p>
    <w:p>
      <w:r>
        <w:t>versé seulement un montant dérisoire alors qu'il dis-</w:t>
      </w:r>
    </w:p>
    <w:p>
      <w:r>
        <w:t>posait de ressources non négligeables.</w:t>
      </w:r>
    </w:p>
    <w:p>
      <w:r>
        <w:t>3.- Le recourant conteste le principe même d'une</w:t>
      </w:r>
    </w:p>
    <w:p>
      <w:r>
        <w:t>contribution d'entretien dans la mesure où les deux aînés</w:t>
      </w:r>
    </w:p>
    <w:p>
      <w:r>
        <w:t>sont venus vivre chez lui en décembre 1999, de sorte que</w:t>
      </w:r>
    </w:p>
    <w:p>
      <w:r>
        <w:t>les charges occasionnées par les enfants ont été répar-</w:t>
      </w:r>
    </w:p>
    <w:p>
      <w:r>
        <w:t>ties équitablement entre les époux, et où son revenu a</w:t>
      </w:r>
    </w:p>
    <w:p>
      <w:r>
        <w:t>diminué sensiblement tout au long de l'année 2000.</w:t>
      </w:r>
    </w:p>
    <w:p>
      <w:r>
        <w:t>Selon l' art. 163 CC , mari et femme contribuent,</w:t>
      </w:r>
    </w:p>
    <w:p>
      <w:r>
        <w:t>chacun selon ses facultés, à l'entretien convenable de la</w:t>
      </w:r>
    </w:p>
    <w:p>
      <w:r>
        <w:t>famille. La loi laisse aux époux toute liberté dans la</w:t>
      </w:r>
    </w:p>
    <w:p>
      <w:r>
        <w:t>répartition des charges leur incombant tant en ce qui</w:t>
      </w:r>
    </w:p>
    <w:p>
      <w:r>
        <w:t>concerne le mode que la mesure des contributions. Un</w:t>
      </w:r>
    </w:p>
    <w:p>
      <w:r>
        <w:t>changement dans la vie de la famille, telle la séparation</w:t>
      </w:r>
    </w:p>
    <w:p>
      <w:r>
        <w:t>des époux, pourra entraîner une modification de cette</w:t>
      </w:r>
    </w:p>
    <w:p>
      <w:r>
        <w:t>répartition. Il faut examiner dans chaque cas concret si</w:t>
      </w:r>
    </w:p>
    <w:p>
      <w:r>
        <w:t>et dans quelle mesure on peut exiger de l'épouse qu'elle</w:t>
      </w:r>
    </w:p>
    <w:p>
      <w:r>
        <w:t>exerce une activité lucrative, compte tenu de son âge, de</w:t>
      </w:r>
    </w:p>
    <w:p>
      <w:r>
        <w:t>son état de santé, de sa formation et, le cas échéant, du</w:t>
      </w:r>
    </w:p>
    <w:p>
      <w:r>
        <w:t>temps plus ou moins long pendant lequel elle aura été</w:t>
      </w:r>
    </w:p>
    <w:p>
      <w:r>
        <w:t>éloignée de la vie professionnelle. En l'espèce, le</w:t>
      </w:r>
    </w:p>
    <w:p>
      <w:r>
        <w:t>recourant ne pouvait pas attendre que son épouse retrouve</w:t>
      </w:r>
    </w:p>
    <w:p>
      <w:r>
        <w:t>un travail aussi peu de temps après leur séparation, dès</w:t>
      </w:r>
    </w:p>
    <w:p>
      <w:r>
        <w:t>lors que, assistante dentaire de formation, elle n'avait</w:t>
      </w:r>
    </w:p>
    <w:p>
      <w:r>
        <w:t>pas exercé sa profession durant l'union conjugale, mais</w:t>
      </w:r>
    </w:p>
    <w:p>
      <w:r>
        <w:t>s'était occupée des enfants et de l'intendance. Il lui</w:t>
      </w:r>
    </w:p>
    <w:p>
      <w:r>
        <w:t>appartenait donc de continuer à pourvoir à l'entretien de</w:t>
      </w:r>
    </w:p>
    <w:p>
      <w:r>
        <w:t>sa famille par le versement d'une pension alimentaire.</w:t>
      </w:r>
    </w:p>
    <w:p>
      <w:r>
        <w:t>Le droit de garde que le recourant exerçait sur ses</w:t>
      </w:r>
    </w:p>
    <w:p>
      <w:r>
        <w:t>deux aînés ne pouvait le dispenser de verser toute pen-</w:t>
      </w:r>
    </w:p>
    <w:p>
      <w:r>
        <w:t>sion en espèces. Les contributions d'entretien doivent en</w:t>
      </w:r>
    </w:p>
    <w:p>
      <w:r>
        <w:t>effet assurer l'entretien courant du créancier et elles</w:t>
      </w:r>
    </w:p>
    <w:p>
      <w:r>
        <w:t>doivent être versées, au moins partiellement, en espèces</w:t>
      </w:r>
    </w:p>
    <w:p>
      <w:r>
        <w:t>afin que celui-ci puisse maintenir son train de vie. Sans</w:t>
      </w:r>
    </w:p>
    <w:p>
      <w:r>
        <w:t>activité lucrative, son épouse ne disposait d'aucun reve-</w:t>
      </w:r>
    </w:p>
    <w:p>
      <w:r>
        <w:t>nu propre. Elle avait besoin d'une somme minimale pour</w:t>
      </w:r>
    </w:p>
    <w:p>
      <w:r>
        <w:t>son entretien courant et celui des deux cadets. Le recou-</w:t>
      </w:r>
    </w:p>
    <w:p>
      <w:r>
        <w:t>rant prétend que son revenu avait si fortement diminué</w:t>
      </w:r>
    </w:p>
    <w:p>
      <w:r>
        <w:t>dès le 1er janvier qu'il n'avait plus les moyens de</w:t>
      </w:r>
    </w:p>
    <w:p>
      <w:r>
        <w:t>verser une quelconque pension. Il ressort cependant de</w:t>
      </w:r>
    </w:p>
    <w:p>
      <w:r>
        <w:t>l'arrêt cantonal qu'il a perçu, durant la période concer-</w:t>
      </w:r>
    </w:p>
    <w:p>
      <w:r>
        <w:t>née par la plainte, soit de février à septembre 2000,</w:t>
      </w:r>
    </w:p>
    <w:p>
      <w:r>
        <w:t>un revenu mensuel net moyen de 7'136 francs, comprenant</w:t>
      </w:r>
    </w:p>
    <w:p>
      <w:r>
        <w:t>1'100 francs versés à titre de compensation de frais et</w:t>
      </w:r>
    </w:p>
    <w:p>
      <w:r>
        <w:t>2'000 francs comme avance sur les commissions. Il a</w:t>
      </w:r>
    </w:p>
    <w:p>
      <w:r>
        <w:t>en outre reçu 17'899,60 francs le 2 février 2000 et</w:t>
      </w:r>
    </w:p>
    <w:p>
      <w:r>
        <w:t>20'974,85 francs le 3 mars 2000 d'un fonds de placement.</w:t>
      </w:r>
    </w:p>
    <w:p>
      <w:r>
        <w:t>Comme l'a retenu la cour cantonale, il aurait pu verser</w:t>
      </w:r>
    </w:p>
    <w:p>
      <w:r>
        <w:t>au moins des acomptes.</w:t>
      </w:r>
    </w:p>
    <w:p>
      <w:r>
        <w:t>Sur le plan subjectif, le recourant a agi inten-</w:t>
      </w:r>
    </w:p>
    <w:p>
      <w:r>
        <w:t>tionnellement. La cour cantonale a en effet constaté que,</w:t>
      </w:r>
    </w:p>
    <w:p>
      <w:r>
        <w:t>vu les revenus qu'il réalisait, il ne pouvait pas ignorer</w:t>
      </w:r>
    </w:p>
    <w:p>
      <w:r>
        <w:t>qu'il devait verser une pension à son épouse et à ses</w:t>
      </w:r>
    </w:p>
    <w:p>
      <w:r>
        <w:t>deux cadets, dès lors qu'il savait que celle-ci n'exer-</w:t>
      </w:r>
    </w:p>
    <w:p>
      <w:r>
        <w:t>çait aucune activité lucrative et n'avait donc pas de</w:t>
      </w:r>
    </w:p>
    <w:p>
      <w:r>
        <w:t>revenu propre.</w:t>
      </w:r>
    </w:p>
    <w:p>
      <w:r>
        <w:t>Au vu de ce qui précède, les éléments constitutifs</w:t>
      </w:r>
    </w:p>
    <w:p>
      <w:r>
        <w:t>objectifs et subjectifs de l'infraction définie à l' art.</w:t>
      </w:r>
    </w:p>
    <w:p>
      <w:r>
        <w:t>217 CP sont réalisés, et c'est donc à juste titre que la</w:t>
      </w:r>
    </w:p>
    <w:p>
      <w:r>
        <w:t>cour cantonale a condamné le recourant pour violation</w:t>
      </w:r>
    </w:p>
    <w:p>
      <w:r>
        <w:t>d'une obligation d'entretien.</w:t>
      </w:r>
    </w:p>
    <w:p>
      <w:r>
        <w:t>Par ces motifs,</w:t>
      </w:r>
    </w:p>
    <w:p>
      <w:r>
        <w:t>l e T r i b u n a l f é d é r a l ,</w:t>
      </w:r>
    </w:p>
    <w:p>
      <w:r>
        <w:t>1. Rejette le pourvoi dans la mesure où il est</w:t>
      </w:r>
    </w:p>
    <w:p>
      <w:r>
        <w:t>recevable.</w:t>
      </w:r>
    </w:p>
    <w:p>
      <w:r>
        <w:t>Lausanne, 22 mars 2002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