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6S.366/2004 vom 16. Februar 2005</w:t>
      </w:r>
    </w:p>
    <w:p>
      <w:r>
        <w:t>Bundesgericht, 2005-02-16, DE</w:t>
      </w:r>
    </w:p>
    <w:p>
      <w:r>
        <w:rPr>
          <w:b/>
        </w:rPr>
        <w:t xml:space="preserve">Quelle: </w:t>
      </w:r>
      <w:r>
        <w:t>https://mcp.opencaselaw.ch/entscheid/bger_6S.366_2004</w:t>
      </w:r>
    </w:p>
    <w:p>
      <w:r>
        <w:t>FR: TF 6S.366/2004 du 16 février 2005</w:t>
      </w:r>
    </w:p>
    <w:p>
      <w:r>
        <w:t>IT: TF 6S.366/2004 del 16 febbraio 2005</w:t>
      </w:r>
    </w:p>
    <w:p>
      <w:pPr>
        <w:pStyle w:val="Heading2"/>
      </w:pPr>
      <w:r>
        <w:t>Regeste</w:t>
      </w:r>
    </w:p>
    <w:p>
      <w:r>
        <w:t>Grobe Verletzung von Verkehrsregeln | Straftaten</w:t>
      </w:r>
    </w:p>
    <w:p>
      <w:pPr>
        <w:pStyle w:val="Heading2"/>
      </w:pPr>
      <w:r>
        <w:t>Erwägungen</w:t>
      </w:r>
    </w:p>
    <w:p>
      <w:r>
        <w:rPr>
          <w:b/>
        </w:rPr>
        <w:t>E. 1</w:t>
      </w:r>
    </w:p>
    <w:p>
      <w:r>
        <w:t>Die eidgenössische Nichtigkeitsbeschwerde ist kassatorischer Natur ( Art. 277ter Abs. 1 BStP ). Soweit der Beschwerdeführer mehr beantragt, als das angefochtene Urteil aufzuheben, ist er nicht zu hören.</w:t>
      </w:r>
    </w:p>
    <w:p>
      <w:r>
        <w:rPr>
          <w:b/>
        </w:rPr>
        <w:t>E. 2</w:t>
      </w:r>
    </w:p>
    <w:p>
      <w:r>
        <w:t>Der Beschwerdeführer macht geltend, seine Verurteilung wegen grober Verletzung von Verkehrsregeln gemäss Art. 90 Ziff. 2 SVG verletze Bundesrecht. Sein Fehlverhalten sei höchstens als mittelschwere Widerhandlung im Sinne von Art. 90 Ziff. 1 SVG zu werten.</w:t>
      </w:r>
    </w:p>
    <w:p>
      <w:r>
        <w:rPr>
          <w:b/>
        </w:rPr>
        <w:t>E. 2.1</w:t>
      </w:r>
    </w:p>
    <w:p>
      <w:r>
        <w:t>Das Bundesgericht ist an die tatsächlichen Feststellungen der Vorinstanz, wie sie oben (Sachverhalt, Bst. A.) wiedergegeben sind, gebunden ( Art. 277bis Abs. 1 BStP ).</w:t>
      </w:r>
    </w:p>
    <w:p>
      <w:r>
        <w:rPr>
          <w:b/>
        </w:rPr>
        <w:t>E. 2.2</w:t>
      </w:r>
    </w:p>
    <w:p>
      <w:r>
        <w:t>Wer Verkehrsregeln des Strassenverkehrsgesetzes oder der Vollziehungsvorschriften des Bundesrates verletzt, wird mit Haft oder mit Busse bestraft ( Art. 90 Ziff. 1 SVG ). Wer durch grobe Verletzung der Verkehrsregeln eine ernstliche Gefahr für die Sicherheit anderer hervorruft oder in Kauf nimmt, wird mit Gefängnis oder mit Busse bestraft ( Art. 90 Ziff. 2 SVG ). Diese Bestimmungen sind von der Teilrevision des SVG vom 14. Dezember 2001 (AS 2002 2767, 2004 2849 und 5053) unberührt geblieben. Der qualifizierte Tatbestand von Art. 90 Ziff. 2 SVG ist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 BGE 123 II 106 E. 2a; 123 IV 88 E. 3a, je mit Hinweisen).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 wenn in Anbetracht der Umstände der Eintritt einer konkreten Gefährdung oder gar einer Verletzung nahe liegt ( BGE 123 IV 88 E. 3a; 118 IV 285 E. 3a). Subjektiv erfordert der Tatbestand von Art. 90 Ziff. 2 SVG nach der Rechtsprechung ein rücksichtsloses oder sonst schwerwiegend verkehrswidriges Verhalten, d.h. ein schweres Verschulden, bei fahrlässigem Handeln mindestens grobe Fahrlässigkeit ( BGE 126 IV 192 E. 3; 123 IV 88 E. 2a und E. 4a; 118 IV 285 E. 4). Rücksichtslos ist unter anderem ein bedenkenloses Verhalten gegenüber fremden Rechtsgütern. Dieses kann auch in einem blossen (momentanen) Nichtbedenken der Gefährdung fremder Interessen bestehen (nicht veröffentlichte Urteile 6S.11/2002 vom 20. März 2002 und 6S.56/1994 vom 11. April 1994).</w:t>
      </w:r>
    </w:p>
    <w:p>
      <w:r>
        <w:rPr>
          <w:b/>
        </w:rPr>
        <w:t>E. 2.3</w:t>
      </w:r>
    </w:p>
    <w:p>
      <w:r>
        <w:t>Die Vorinstanz wirft dem Beschwerdeführer gemäss Dispositiv des angefochtenen Urteils die Verletzung von Art. 34 Abs. 4 SVG vor. Nach dieser Bestimmung ist gegenüber allen Strassenbenützern ein ausreichender Abstand zu wahren, namentlich beim Kreuzen und Überholen sowie beim Neben- und Hintereinanderfahren. Diese Abstandsregel richtet sich sowohl an motorlose Fahrzeuge als auch an Motorfahrzeuge und gilt insbesondere auch gegenüber Fussgängern, und zwar nicht nur beim Kreuzen und Überholen derselben ( BGE 72 II 132 ; 83 IV 35 ; 91 IV 86 ), sondern bei jeglichem Vorbeifahren. Überqueren wie hier - zum Vortritt berechtigte (vgl. Art. 33 Abs. 2 SVG ) - Fussgänger einen Fussgängerstreifen, müssen die vortrittsbelasteten Fahrzeuglenker ihnen das Überqueren der Fahrbahn in angemessener Weise ermöglichen und so lange zuwarten, bis sie die Fahrbahn vollständig überquert haben bzw. eine Durchfahrt situationsgerecht mit einem genügenden Sicherheitsabstand gefahrlos möglich ist. Die Grösse des seitlichen Abstandes, der gegenüber Fussgängern einzuhalten ist, kann nicht allgemein zahlenmässig festgelegt werden. Sie richtet sich vielmehr unter anderem nach der Breite der Fahrbahn, den Verkehrs- und Sichtverhältnissen, der Geschwindigkeit des Fahrzeugs sowie dem Alter und dem Verhalten der Fussgänger (vgl. BGE 91 IV 86 E. 2 zum Überholen). Wie die Vorinstanz zutreffend erkannt hat, ist Art. 34 Abs. 4 SVG eine zentrale Verkehrsvorschrift zum Schutze der anderen Verkehrsteilnehmer, insbesondere der nicht abgeschirmten Fussgänger. Der Beschwerdeführer hat diese Abstandsregel in nicht mehr leicht wiegender Weise missachtet. Er hat aus Ungeduld nicht abgewartet, bis die Fussgänger den Streifen ganz oder zumindest weitgehend überquert hatten, sondern ist bereits angefahren, als die Fussgänger an seinem Fahrzeug erst knapp vorbeigegangen waren. Der Abstand von 30 bis 40 cm, mit dem der Beschwerdeführer hinter den Fussgängern durchfuhr, verletzt unter den zu beurteilenden Umständen Art. 34 Abs. 4 SVG klar. Hingegen fehlt es für die Erfüllung des objektiven Tatbestandes von Art. 90 Ziff. 2 SVG am Erfordernis der ernstlichen Gefährdung der Verkehrssicherheit. Wesentlich ist, dass der Beschwerdeführer aus dem Stillstand anfuhr und die erwachsenen Fussgänger mit einer Geschwindigkeit von lediglich 15 km/h kreuzte. Zudem waren die Fussgänger bereits knapp vor seinem Fahrzeug vorbeigegangen, als der Beschwerdeführer anfuhr. Sie schritten ferner von der Fahrbahn weg auf das Trottoir zu. Der Beschwerdeführer vertraute offensichtlich als Berufsfahrer darauf, dass während der zeitlichen Verzögerung zwischen dem Anfahren und dem Befahren des Fussgängerstreifens die Fussgänger bereits eine genügende Strecke zurückgelegt hätten, um gefahrlos an ihnen vorbeizufahren. Da sich die Fussgänger vom Fahrzeug wegbewegten und sich dieses beim Kreuzen in ihrem Rücken befand, lag eine (Fehl-)Reaktion der Fussgänger, beispielsweise ein Schritt zurück, ein Drehen des Körpers oder eine Rückwärtsbewegung mit dem Arm, bei einem Abstand von 30 bis 40 cm und der gefahrenen Geschwindigkeit eher fern. Es fehlt damit an einer konkreten oder erhöht abstrakten Gefährdung der Fussgänger im Sinne von Art. 90 Ziff. 2 SVG , auch wenn eine Fehl- oder Schreckreaktion der Fussgänger unter den gegebenen Umständen allgemein möglich war (vgl. BGE 123 IV 88 E. 3a; 118 IV 285 E. 3a). Zusammenfassend ergibt sich, dass die Verurteilung wegen grober Verkehrsregelverletzung gemäss Art. 90 Ziff. 2 SVG Bundesrecht verletzt. Ausgehend vom festgestellten Sachverhalt handelt es sich beim Fehlverhalten des Beschwerdeführers um eine objektiv und subjektiv mittelschwere Widerhandlung im Sinne von Art. 90 Ziff. 1 SVG , was der Beschwerdeführer in seiner Beschwerde auch einräumt.</w:t>
      </w:r>
    </w:p>
    <w:p>
      <w:r>
        <w:rPr>
          <w:b/>
        </w:rPr>
        <w:t>E. 3</w:t>
      </w:r>
    </w:p>
    <w:p>
      <w:r>
        <w:t>Die Beschwerde ist gutzuheissen, soweit darauf einzutreten ist. Bei diesem Ausgang des Verfahrens sind keine Kosten zu erheben und ist dem Beschwerdeführer eine angemessene Parteientschädigung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