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6S.364/2005 vom 9. März 2006</w:t>
      </w:r>
    </w:p>
    <w:p>
      <w:r>
        <w:t>Bundesgericht, 2006-03-09, DE</w:t>
      </w:r>
    </w:p>
    <w:p>
      <w:r>
        <w:rPr>
          <w:b/>
        </w:rPr>
        <w:t xml:space="preserve">Quelle: </w:t>
      </w:r>
      <w:r>
        <w:t>https://mcp.opencaselaw.ch/entscheid/bger_6S.364_2005</w:t>
      </w:r>
    </w:p>
    <w:p>
      <w:r>
        <w:t>FR: TF 6S.364/2005 du 9 mars 2006</w:t>
      </w:r>
    </w:p>
    <w:p>
      <w:r>
        <w:t>IT: TF 6S.364/2005 del 9 marzo 2006</w:t>
      </w:r>
    </w:p>
    <w:p>
      <w:pPr>
        <w:pStyle w:val="Heading2"/>
      </w:pPr>
      <w:r>
        <w:t>Erwägungen</w:t>
      </w:r>
    </w:p>
    <w:p>
      <w:r>
        <w:rPr>
          <w:b/>
        </w:rPr>
        <w:t>E. 1</w:t>
      </w:r>
    </w:p>
    <w:p>
      <w:r>
        <w:t>Die Beschwerdeführerin macht geltend, das ihr vorgeworfene Verhalten erfülle den objektiven Tatbestand des Betrugs gemäss Art. 146 Abs. 1 StGB nicht. Durch ihre Unterlassung, den Fund von als vermisst gemeldeten Schmuckstücken den Winterthur-Versicherungen mitzuteilen, habe sie diese nicht getäuscht.</w:t>
      </w:r>
    </w:p>
    <w:p>
      <w:r>
        <w:t>Die Vorinstanz bejaht eine solche Täuschung, weil die Beschwerdefürerin gestützt auf B 5 Ziff. 22 der Allgemeinen Versicherungsbedingungen zur unverzüglichen Meldung über den Fund verpflichtet gewesen war und sie diese Pflicht kannte. Die Beschwerdeführerin wendet zu Recht ein, dass sie gar nicht Versicherungsnehmerin ist, sondern die Police auf ihren Ehemann lautet. Es kann daher gestützt auf die genannte vertragliche Bestimmung nicht ohne weiteres auf eine ihr obliegende Aufklärungspflicht geschlossen werden. Ausserdem mag es zutreffen, dass zwischen Versicherung und Versicherungsnehmer im Allgemeinen nicht von einem besonderen Vertrauensverhältnis gesprochen werden kann, das eine Garantenstellung begründet (vgl. Markus Boog, Versicherungsbetrug: strafrechtliche Aspekte, in: Handbücher für die Anwaltspraxis, Band V, Basel 1999, N. 22.22 und 22.47).</w:t>
      </w:r>
    </w:p>
    <w:p>
      <w:r>
        <w:t>Die Argumentation der Beschwerdeführerin übergeht indessen, dass sie die Mitteilung unterlassen hat, nachdem sie ihre Ansprüche wegen eines Garderobediebstahls bei der Versicherung angemeldet hatte. Durch diese Schadensmeldung ist sie in eine nähere Beziehung zur Versicherung getreten, in der ihr bestimmte, schon durch das Gesetz umschriebene Pflichten obliegen (vgl. Art. 38-40 des Versicherungsvertragsgesetzes vom 2. April 1908 [VVG; SR 221.229.1]). Aus Art. 40 VVG ergibt sich, dass der Anspruchsberechtigte Tatsachen, welche die Leistungspflicht des Versicherers ausschliessen oder mindern, wahrheitsgemäss mitteilen muss und sie nicht verschweigen darf. Diese Pflicht kann durch ein aktives Tun (Angabe unwahrer Tatsachen) oder durch ein Unterlassen (Schweigen) verletzt werden (Thomas Pfister, Versicherungsbetrug: zivilrechtliche Aspekte, in: Handbücher für die Anwaltspraxis, Band V, Basel 1999, N. 21.25). Die Beschwerdeführerin war daher bereits aufgrund gesetzlicher Vorschrift gehalten, die Versicherung über die für die Leistungspflicht massgeblichen Tatsachen zu informieren.</w:t>
      </w:r>
    </w:p>
    <w:p>
      <w:r>
        <w:t>Es kommt hinzu, dass sich die Beschwerdeführerin mit der Meldung des Schadensfalls den dafür vorgesehenen Regeln der Allgemeinen Versicherungsbedingungen unterworfen hat. Denn es musste ihr klar sein, dass die Versicherung allein nach diesen Bedingungen zu einer Leistung verpflichtet ist und sie diese Regeln zu respektieren hat, wenn sie eine Entschädigung beanspruchen will. Umgekehrt durfte sie davon ausgehen, dass die Versicherung den von ihr gemeldeten Anspruch entsprechend diesen Regeln prüfen und erfüllen werde. Es bestand demnach zwischen ihr und der Versicherung ein besonderes Vertrauensverhältnis, das auf klaren Regelungen beruhte (vgl. BGE 107 IV 169 E. 2c S. 171 f.). Dieses vermochte zusammen mit den Allgemeinen Versicherungsbedingungen B 5 Ziff. 22 eine Pflicht der Beschwerdeführerin zu begründen, die Versicherung über das Auffinden der als gestohlen gemeldeten Gegenstände zu informieren. Das gilt umso mehr, als der Beschwerdeführerin von der Versicherung bereits eine Zahlung von Fr. 6'000.--, davon Fr. 3'000.-- aus Kulanz, in Aussicht gestellt worden waren, wenn die persönlichen Abklärungen beim rapportierenden Kantonspolizisten nichts Negatives ergäben. Sie hatte damit schon praktisch Gewissheit, dass es ohne ihre Mitteilung über den Fund zur Auszahlung kommen würde. Wenn die Beschwerdeführerin dies in ihrer Rechtsschrift anzweifelt, weicht sie von den verbindlichen Feststellungen der Vorinstanz ab, was im Rahmen der Nichtigkeitsbeschwerde nicht zulässig ist ( Art. 273 Abs. 1 lit. b BStP ).</w:t>
      </w:r>
    </w:p>
    <w:p>
      <w:r>
        <w:t>Die Vorinstanz bejaht daher im Ergebnis zu Recht eine Täuschung im Sinne von Art. 146 Abs. 1 StGB .</w:t>
      </w:r>
    </w:p>
    <w:p>
      <w:r>
        <w:rPr>
          <w:b/>
        </w:rPr>
        <w:t>E. 2</w:t>
      </w:r>
    </w:p>
    <w:p>
      <w:r>
        <w:t>Im angefochtenen Entscheid wird die erfolgte Täuschung auch als arglistig im Sinne der bundesgerichtlichen Rechtsprechung zu Art. 146 StGB bezeichnet. So hätte die Versicherung das nachträgliche Auffinden der Ringe nicht oder nur mit besonderer Mühe feststellen können. Ausserdem sei die Beschwerdeführerin davon ausgegangen, dass die Versicherung von einer näheren Überprüfung ihrer Angaben absehen werde.</w:t>
      </w:r>
    </w:p>
    <w:p>
      <w:r>
        <w:t>Soweit die Beschwerdeführerin wiederum geltend macht, sie habe nicht praktisch sicher davon ausgehen können, dass ihr die Versicherung die in Aussicht gestellte Summe bezahlen werde, wendet sie sich erneut in unzulässiger Weise gegen Sachverhaltsfeststellungen. Mit der Vorinstanz ist davon auszugehen, dass die Beschwerdeführerin nicht bloss hoffte, eine weitere Nachforschung nach dem Verbleib der Ringe werde unterbleiben, sondern dass sie aufgrund der Auskunft der Versicherung darauf vertraute und diesen Umstand bewusst ausnutzte. Ihr Verhalten ist nach der Rechtsprechung schon aus diesem Grund als arglistig zu bezeichnen ( BGE 99 IV 75 E. 5 S. 79).</w:t>
      </w:r>
    </w:p>
    <w:p>
      <w:r>
        <w:rPr>
          <w:b/>
        </w:rPr>
        <w:t>E. 3</w:t>
      </w:r>
    </w:p>
    <w:p>
      <w:r>
        <w:t>Die Beschwerdeführerin kritisiert ebenfalls, dass im angefochtenen Entscheid davon ausgegangen wird, sie habe bei der Versicherung vorübergehend einen Irrtum über den Verbleib der nachträglich gefundenen Ringe bewirkt und ausserdem vorsätzlich und mit Bereicherungsabsicht gehandelt. Ihre Einwände beschränken sich auf eine unzulässige Kritik an den Sachverhaltsfeststellungen, weshalb darauf nicht einzutreten ist. Im Übrigen kann zu diesen Punkten auf die zutreffenden Erwägungen der Vorinstanz verwiesen werden.</w:t>
      </w:r>
    </w:p>
    <w:p>
      <w:r>
        <w:rPr>
          <w:b/>
        </w:rPr>
        <w:t>E. 4</w:t>
      </w:r>
    </w:p>
    <w:p>
      <w:r>
        <w:t>Die eidgenössische Nichtigkeitsbeschwerde ist aus diesen Gründen abzuweisen, soweit darauf einzutreten ist.</w:t>
      </w:r>
    </w:p>
    <w:p>
      <w:r>
        <w:t>Bei diesem Ausgang des Verfahrens sind die bundesgerichtlichen Kosten der Beschwerdeführerin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