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6S.362/2006 vom 3. November 2006</w:t>
      </w:r>
    </w:p>
    <w:p>
      <w:r>
        <w:t>Bundesgericht, 2006-11-03, DE</w:t>
      </w:r>
    </w:p>
    <w:p>
      <w:r>
        <w:rPr>
          <w:b/>
        </w:rPr>
        <w:t xml:space="preserve">Quelle: </w:t>
      </w:r>
      <w:r>
        <w:t>https://mcp.opencaselaw.ch/entscheid/bger_6S.362_2006</w:t>
      </w:r>
    </w:p>
    <w:p>
      <w:r>
        <w:t>FR: TF 6S.362/2006 du 3 novembre 2006</w:t>
      </w:r>
    </w:p>
    <w:p>
      <w:r>
        <w:t>IT: TF 6S.362/2006 del 3 novembre 2006</w:t>
      </w:r>
    </w:p>
    <w:p>
      <w:pPr>
        <w:pStyle w:val="Heading2"/>
      </w:pPr>
      <w:r>
        <w:t>Regeste</w:t>
      </w:r>
    </w:p>
    <w:p>
      <w:r>
        <w:t>Revision des Urteils des Bundesgerichts vom 1. Mai 2001 (6S.49/2000) | Strafrecht (allgemein)</w:t>
      </w:r>
    </w:p>
    <w:p>
      <w:pPr>
        <w:pStyle w:val="Heading2"/>
      </w:pPr>
      <w:r>
        <w:t>Erwägungen</w:t>
      </w:r>
    </w:p>
    <w:p>
      <w:r>
        <w:rPr>
          <w:b/>
        </w:rPr>
        <w:t>E. 1</w:t>
      </w:r>
    </w:p>
    <w:p>
      <w:r>
        <w:t>Die Revision eines Entscheides des Bundesgerichts oder einer Vorinstanz ist zulässig, wenn der Europäische Gerichtshof für Menschenrechte eine Individualbeschwerde wegen Verletzung der Konvention zum Schutze der Menschenrechte und Grundfreiheiten und deren Protokolle gutgeheissen hat und eine Wiedergutmachung nur durch eine Revision möglich ist ( Art. 139a Abs. 1 OG ). Stellt das Bundesgericht fest, dass die Revision geboten, aber eine Vorinstanz zuständig ist, so überweist es ihr die Sache zu Durchführung des Revisionsverfahrens ( Art. 139a Abs. 2 OG ). Im Gesuch ist mit Angabe der Beweismittel der Revisionsgrund und dessen rechtzeitige Geltendmachung darzulegen und anzugeben, welche Abänderung des früheren Entscheides und welche Rückleistung verlangt werden ( Art. 140 OG ). In den Fällen von Art. 139a OG muss das Revisionsgesuch bei Folge der Verwirkung binnen 90 Tagen, nachdem das Bundesamt für Justiz den Entscheid der europäischen Behörde den Parteien zugestellt hat, beim Bundesgericht anhängig gemacht werden ( Art 141 Abs. 1 lit. c OG ). Findet das Bundesgericht, dass der Revisionsgrund zutreffe, so hebt es die frühere Entscheidung auf und entscheidet aufs Neue. Es entscheidet gleichzeitig über die Rückleistung bezüglich Hauptsache und Kosten ( Art. 144 Abs. 1 OG ). Der Gesuchsteller ist zur Einreichung des Revisionsgesuchs legitimiert, da er im früheren Verfahren vor dem Bundesgericht als Beschwerdeführer Partei war und ein schutzwürdiges Interesse an der Revision des Bundesgerichtsentscheids hat. Das Revisionsgesuch ist innert Frist eingereicht worden. Im Gesuch wird der Revisionsgrund dargelegt und angegeben, welche Abänderung des früheren Bundesgerichtsentscheids und welche Rückleistung verlangt werden.</w:t>
      </w:r>
    </w:p>
    <w:p>
      <w:r>
        <w:rPr>
          <w:b/>
        </w:rPr>
        <w:t>E. 2</w:t>
      </w:r>
    </w:p>
    <w:p>
      <w:r>
        <w:t>Der Gesuchsteller strebt mit seinem Revisionsbegehren den Ersatz der Kosten (Gerichtsgebühren, Anwaltshonorare etc.) an, die ihm in den Verfahren vor den kantonalen Instanzen und vor dem Bundesgericht entstanden sind. Er hat diese Ansprüche indessen bereits vor dem Europäischen Gerichtshof für Menschenrechte geltend gemacht, der insoweit eine Entschädigung abgelehnt hat mit der Begründung, dass der Arbeitgeber des Beschwerdeführers für die fraglichen Kosten aufgekommen war (Urteil des Gerichtshofes Ziffern 64, 67, 68; Dispositiv-Ziffer 4). Unter diesen Umständen bleibt kein Raum für die Geltendmachung der gleichen Ansprüche im Revisionsverfahren vor dem Bundesgericht ( BGE 125 III 185 E. 3 ; 123 I 283 E. 3b mit Hinweisen; Frank Schürmann, Erste Erfahrungen mit Art. 139a OG , in Festschrift 125 Jahre Kassationsgericht Zürich, 2000, S. 91 ff., 99 f.). Das Revisionsgesuch ist daher insoweit abzuweisen.</w:t>
      </w:r>
    </w:p>
    <w:p>
      <w:r>
        <w:rPr>
          <w:b/>
        </w:rPr>
        <w:t>E. 3.1</w:t>
      </w:r>
    </w:p>
    <w:p>
      <w:r>
        <w:t>Aus dem Entscheid des Europäischen Gerichtshofes für Menschenrechte vom 25. April 2006 geht hervor, dass die Verurteilung des Gesuchstellers unter der gebotenen Berücksichtigung und Gewichtung der relevanten Umstände nicht im Sinne von Art. 10 Ziff. 2 EMRK in einer demokratischen Gesellschaft notwendig ist. Der Gerichtshof hat daher eine Verletzung von Art. 10 EMRK festgestellt.</w:t>
      </w:r>
    </w:p>
    <w:p>
      <w:r>
        <w:rPr>
          <w:b/>
        </w:rPr>
        <w:t>E. 3.2</w:t>
      </w:r>
    </w:p>
    <w:p>
      <w:r>
        <w:t>Durch den Bundesgerichtsentscheid vom 1. Mai 2001 wurde die eidgenössische Nichtigkeitsbeschwerde gegen die Verurteilung des Gesuchstellers abgewiesen, soweit darauf eingetreten werden konnte. In einem solchen Fall, in dem nicht lediglich materielle Interessen auf dem Spiel stehen, ist eine vollkommene Wiedergutmachung nur durch eine Revision des Bundesgerichtsentscheids möglich. Zwar hat der Europäische Gerichtshof für Menschenrechte in seinem Entscheid vom 25. April 2006 erkannt, dass die Feststellung einer Verletzung von Art. 10 EMRK schon für sich allein eine gerechte Entschädigung im Sinne von Art. 41 EMRK für den vom Beschwerdeführer erlittenen moralischen Schaden ist (Urteil Ziffer 63, Dispositiv-Ziffer 2). Daraus folgt aber nicht, dass eine darüber hinausgehende Wiedergutmachung nach Massgabe des innerstaatlichen Rechts nicht erforderlich ist (siehe Martin Philipp Wyss, EMRK-Verletzung und bundesrechtliche Revision nach Art. 139a OG , recht 1999, S. 92 ff., 103).</w:t>
      </w:r>
    </w:p>
    <w:p>
      <w:r>
        <w:rPr>
          <w:b/>
        </w:rPr>
        <w:t>E. 3.3</w:t>
      </w:r>
    </w:p>
    <w:p>
      <w:r>
        <w:t>Der Kassationshof des Bundesgerichts kann einen Beschuldigten nicht selber beispielsweise freisprechen (siehe Art. 277ter Abs. 1 BStP ). Die Revision hat daher in einem Fall der vorliegenden Art, in dem gemäss dem Entscheid des Europäischen Gerichtshofes für Menschenrechte die Verurteilung als solche die Meinungsfreiheit verletzt, dergestalt zu erfolgen, dass das Bundesgericht sein Urteil vom 1. Mai 2001, soweit darin die eidgenössische Nichtigkeitsbeschwerde abgewiesen wird, aufhebt und nunmehr die eidgenössische Nichtigkeitsbeschwerde gutheisst, die Ziffern 1-3 des Urteils des Obergerichts des Kantons Zürich vom 7. September 1999 aufhebt und die Sache zur neuen Entscheidung an das Obergericht zurückweist (vgl. auch BGE 124 II 480 E. 2c; Arthur Haefliger/Frank Schürmann, Die Europäische Menschenrechtskonvention und die Schweiz, 2. Aufl., 1999, S. 432, 434 Fn. 178). Dabei ist zur Wiedergutmachung im Sinne von Art. 139a OG ein Freispruch vom Vorwurf der Anstiftung zur Verletzung des Amtsgeheimnisses geboten.</w:t>
      </w:r>
    </w:p>
    <w:p>
      <w:r>
        <w:rPr>
          <w:b/>
        </w:rPr>
        <w:t>E. 4</w:t>
      </w:r>
    </w:p>
    <w:p>
      <w:r>
        <w:t>Das Revisionsgesuch ist somit teilweise gutzuheissen. Bei diesem Ausgang des Verfahrens hat der Gesuchsteller eine reduzierte Gerichtsgebühr zu zahlen und ist ihm eine reduzierte Entschädigung aus der Bundesgerichtskasse auszurichten. Diese Beträge sind gleich hoch und werden daher miteinander kompensiert.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