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6S.350/2002 vom 11. Februar 2003</w:t>
      </w:r>
    </w:p>
    <w:p>
      <w:r>
        <w:t>Bundesgericht, 2003-02-11, DE</w:t>
      </w:r>
    </w:p>
    <w:p>
      <w:r>
        <w:rPr>
          <w:b/>
        </w:rPr>
        <w:t xml:space="preserve">Quelle: </w:t>
      </w:r>
      <w:r>
        <w:t>https://mcp.opencaselaw.ch/entscheid/bger_6S.350_2002</w:t>
      </w:r>
    </w:p>
    <w:p>
      <w:r>
        <w:t>FR: TF 6S.350/2002 du 11 février 2003</w:t>
      </w:r>
    </w:p>
    <w:p>
      <w:r>
        <w:t>IT: TF 6S.350/2002 del 11 febbraio 2003</w:t>
      </w:r>
    </w:p>
    <w:p>
      <w:pPr>
        <w:pStyle w:val="Heading2"/>
      </w:pPr>
      <w:r>
        <w:t>Regeste</w:t>
      </w:r>
    </w:p>
    <w:p>
      <w:r>
        <w:t>Straftaten</w:t>
      </w:r>
    </w:p>
    <w:p>
      <w:pPr>
        <w:pStyle w:val="Heading2"/>
      </w:pPr>
      <w:r>
        <w:t>Erwägungen</w:t>
      </w:r>
    </w:p>
    <w:p>
      <w:r>
        <w:rPr>
          <w:b/>
        </w:rPr>
        <w:t>E. 1</w:t>
      </w:r>
    </w:p>
    <w:p>
      <w:r>
        <w:t>Die Nichtigkeitsbeschwerde kann nur damit begründet werden, dass das angefochtene Urteil eidgenössisches Recht verletze; die Rüge der Verletzung verfassungsmässiger Rechte ist dabei ausgeschlossen ( Art. 269 BStP ). Das Bundesgericht hat seinem Entscheid die tatsächlichen Feststellungen der kantonalen Behörde zu Grunde zu legen, wobei offensichtlich auf Versehen beruhende Feststellungen von Amtes wegen berichtigt werden. Ausführungen, die sich gegen die tatsächlichen Feststellungen des Entscheids richten, das Vorbringen neuer Tatsachen, neue Einreden, Bestreitungen und Beweismittel, sowie Erörterungen über die Verletzung kantonalen Rechts sind unzulässig ( Art. 273 Abs. 1 lit. b BStP ). Soweit sich der Beschwerdeführer gegen die tatsächlichen Feststellungen der Vorinstanz wendet, die Grundlage für die Annahme des Vorsatzes sind (Beschwerde, Ziff. 3.3 g), ist er somit nicht zu hören.</w:t>
      </w:r>
    </w:p>
    <w:p>
      <w:r>
        <w:rPr>
          <w:b/>
        </w:rPr>
        <w:t>E. 2</w:t>
      </w:r>
    </w:p>
    <w:p>
      <w:r>
        <w:t>Der Beschwerdeführer bestreitet, dass sein Verhalten den Tatbestand der Begünstigung im Sinne von Art. 305 Abs. 1 StGB erfüllt.</w:t>
      </w:r>
    </w:p>
    <w:p>
      <w:r>
        <w:rPr>
          <w:b/>
        </w:rPr>
        <w:t>E. 2.1</w:t>
      </w:r>
    </w:p>
    <w:p>
      <w:r>
        <w:t>Der Begünstigung nach Art. 305 Abs. 1 StGB macht sich schuldig, wer jemanden der Strafverfolgung, dem Strafvollzug oder dem Vollzug einer der in den Artikeln 42-44 und 100bis StGB vorgesehenen Massnahmen entzieht. Die Tathandlung des Entziehens setzt voraus, dass der Täter eine Amtshandlung im Strafverfahren mindestens für eine gewisse Zeit verhindert hat ( BGE 117 IV 467 E. 3 mit Hinweisen). Sie ist vollendet, wenn beispielsweise eine strafprozessuale Zwangsmassnahme wie die Verhaftung erst später erfolgen kann, als es ohne die Handlung des Begünstigenden geschehen wäre ( BGE 103 IV 98 E. 1; 104 IV 186 E. 1b; 106 IV 189 E. 2c). Eine blosse Beistandshandlung, welche die Strafverfolgung nur vorübergehend oder geringfügig behindert bzw. stört, genügt jedoch nicht (vgl. BGE 99 IV 266 E. 3 S. 276 f.). Zu den als Begünstigung in Frage kommenden Tathandlungen zählen unter anderem das Verbergen von Beweismitteln, um zu Gunsten der verfolgten Person die Sachaufklärung hinauszuschieben, sowie das zeitweilige Beherbergen eines Flüchtigen oder von den Strafverfolgungsbehörden Gesuchten, dessen Transportierung und die Leistung materieller Unterstützung an ihn (vgl. nur Stefan Trechsel, Schweizerisches Strafgesetzbuch, Kurzkommentar, 2. Aufl., Zürich 1997, Art. 305 StGB N. 8 f. mit ausführlichen Nachweisen; Ursula Cassani, Commentaire du droit pénal suisse, partie spéciale, Bd. 9, Bern 1996, Art. 305 StGB N. 13 ff.). Nach der bundesgerichtlichen Rechtsprechung muss aber in jedem Fall nachgewiesen sein, dass der Flüchtige, Verdächtige usw. gerade wegen der Handlung des angeblichen Begünstigers dem polizeilichen Zugriff für eine gewisse Zeit entzogen worden ist ( BGE 114 IV 36 E. 1b; 117 IV 467 E. 4c).</w:t>
      </w:r>
    </w:p>
    <w:p>
      <w:r>
        <w:rPr>
          <w:b/>
        </w:rPr>
        <w:t>E. 2.2</w:t>
      </w:r>
    </w:p>
    <w:p>
      <w:r>
        <w:t>Gegenüber der Vorinstanz brachte der Beschwerdeführer vor, er habe keine Begünstigung begangen, weil die beiden Männer auch ohne seine Mitwirkung nicht ins Hotel zurückgekehrt wären, sondern für diesen Fall ihr Gepäck aufgegeben und den elektronischen Hotelzimmerschlüssel fortgeworfen hätten. Die Vorinstanz verneint dies mit dem Hinweis, den beiden Tatverdächtigen sei angesichts der Umstände offensichtlich sehr viel daran gelegen gewesen, "zu ihrem Gepäck zu kommen". Gleichzeitig räumt sie ein, es könne nicht widerlegt werden, dass das Reisegepäck etwas anderes als bloss Rasiersachen, Seife und Ähnliches enthalten habe. Angesichts des verbindlich festgestellten Inhalts des Reisegepäcks ist der Einwand des Beschwerdeführers nicht zu widerlegen. Es ist nicht ersichtlich, inwiefern der Beschwerdeführer M.K.________ und S.K.________ dem polizeilichen Zugriff für eine gewisse, nicht unerhebliche Zeit entzogen haben soll, indem er das Gepäck der beiden Männern holte und es ihnen überbrachte. Die ohne weiteres ersetzbaren persönlichen Effekte konnten den Tatverdächtigen die Flucht bzw. die Abreise lediglich etwas bequemer gestalten, sie jedoch nicht in relevanter Weise fördern. Das Verhalten des Beschwerdeführers erscheint damit als untergeordnete Beistandshandlung, worin kein Entziehen von der Strafverfolgung im Sinne der Rechtsprechung liegt (vgl. insbesondere BGE 117 IV 468 E. 4c zur Verköstigung eines Flüchtigen). Die Verurteilung wegen vollendeter Begünstigung verletzt damit Bundesrecht.</w:t>
      </w:r>
    </w:p>
    <w:p>
      <w:r>
        <w:rPr>
          <w:b/>
        </w:rPr>
        <w:t>E. 3</w:t>
      </w:r>
    </w:p>
    <w:p>
      <w:r>
        <w:t>Mit der Gutheissung der Beschwerde im Hauptpunkt wird die Vorinstanz die Frage der Verlängerung der Probezeit für die Vorstrafe neu beurteilen müssen. Die Beschwerde ist in diesem Punkt ebenfalls gutzuheissen.</w:t>
      </w:r>
    </w:p>
    <w:p>
      <w:r>
        <w:rPr>
          <w:b/>
        </w:rPr>
        <w:t>E. 4</w:t>
      </w:r>
    </w:p>
    <w:p>
      <w:r>
        <w:t>Die Beschwerde ist deshalb gutzuheissen, soweit darauf einzutreten ist. Bei diesem Verfahrensausgang sind keine Kosten zu erheben und ist dem Beschwerdeführer eine Parteientschädigung aus der Bundesgerichtskasse auszurichten. Damit ist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