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6S.348/2004 vom 20. Januar 2005</w:t>
      </w:r>
    </w:p>
    <w:p>
      <w:r>
        <w:t>Bundesgericht, 2005-01-20, DE</w:t>
      </w:r>
    </w:p>
    <w:p>
      <w:r>
        <w:rPr>
          <w:b/>
        </w:rPr>
        <w:t xml:space="preserve">Quelle: </w:t>
      </w:r>
      <w:r>
        <w:t>https://mcp.opencaselaw.ch/entscheid/bger_6S.348_2004</w:t>
      </w:r>
    </w:p>
    <w:p>
      <w:r>
        <w:t>FR: TF 6S.348/2004 du 20 janvier 2005</w:t>
      </w:r>
    </w:p>
    <w:p>
      <w:r>
        <w:t>IT: TF 6S.348/2004 del 20 gennaio 2005</w:t>
      </w:r>
    </w:p>
    <w:p>
      <w:pPr>
        <w:pStyle w:val="Heading2"/>
      </w:pPr>
      <w:r>
        <w:t>Regeste</w:t>
      </w:r>
    </w:p>
    <w:p>
      <w:r>
        <w:t>Strafzumessung (Widerhandlung gegen das BetmG) | Strafrecht (allgemein)</w:t>
      </w:r>
    </w:p>
    <w:p>
      <w:pPr>
        <w:pStyle w:val="Heading2"/>
      </w:pPr>
      <w:r>
        <w:t>Erwägungen</w:t>
      </w:r>
    </w:p>
    <w:p>
      <w:r>
        <w:rPr>
          <w:b/>
        </w:rPr>
        <w:t>E. 1</w:t>
      </w:r>
    </w:p>
    <w:p>
      <w:r>
        <w:t>Der Beschwerdeführer verlangt neben der Aufhebung des angefochtenen Entscheids auch die Anweisung des Obergerichts, ihn mit 18 Monaten Gefängnis unter Gewährung des bedingten Strafvollzugs zu bestrafen. Dieser zweite Antrag ist unzulässig, da die Nichtigkeitsbeschwerde rein kassatorischer Natur ist ( Art. 277ter Abs. 1 BStP ).</w:t>
      </w:r>
    </w:p>
    <w:p>
      <w:r>
        <w:rPr>
          <w:b/>
        </w:rPr>
        <w:t>E. 2</w:t>
      </w:r>
    </w:p>
    <w:p>
      <w:r>
        <w:t>Der Beschwerdeführer wendet sich allein gegen die Strafzumessung. Seiner Ansicht nach hat die Vorinstanz die objektive Schwere der Tat zu stark gewichtet und umgekehrt seine persönlichen Umstände zu wenig berücksichtigt. Die ausgesprochene Strafe von 2 Jahren und 6 Monaten Gefängnis erweise sich daher als bundesrechtswidrig. Es komme höchstens ein Strafmass in Betracht, das die Gewährung des bedingten Strafvollzugs noch zulasse.</w:t>
      </w:r>
    </w:p>
    <w:p>
      <w:r>
        <w:rPr>
          <w:b/>
        </w:rPr>
        <w:t>E. 3</w:t>
      </w:r>
    </w:p>
    <w:p>
      <w:r>
        <w:t>Nach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 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wesentliche Faktoren ausser Acht gelassen hat und schliesslich, wenn er solche Elemente in Überschreitung oder Missbrauch seines Ermessens falsch gewichtet hat ( BGE 129 IV 6 E. 6.1 S. 21; 124 IV 286 E. 4a S. 295).</w:t>
      </w:r>
    </w:p>
    <w:p>
      <w:r>
        <w:rPr>
          <w:b/>
        </w:rPr>
        <w:t>E. 4</w:t>
      </w:r>
    </w:p>
    <w:p>
      <w:r>
        <w:t>Der Beschwerdeführer beanstandet zunächst, dass die Vorinstanz in ihrem Urteil zwar festhalte, er habe sich seit seiner Verhaftung im August 2002 wohl verhalten und regelmässig an psychiatrischen Gesprächen teilgenommen, diese Umstände aber nicht strafmindernd berücksichtige.</w:t>
      </w:r>
    </w:p>
    <w:p>
      <w:r>
        <w:rPr>
          <w:b/>
        </w:rPr>
        <w:t>E. 4.1</w:t>
      </w:r>
    </w:p>
    <w:p>
      <w:r>
        <w:t>Das Wohlverhalten eines Täters nach der Tat kann für die Strafzumessung in zweierlei Hinsicht von Bedeutung sein. Zum einen kann es den Täter und seine Einstellung zur Tat in einem günstigeren Licht erscheinen lassen, was bei der Beurteilung des Verschuldens im Rahmen der Täterkomponente strafmindernd zu berücksichtigen ist (vgl. Hans Wiprächtiger, Basler Kommentar, N. 105 zu Art. 63 StGB ; nicht publiziertes Urteil 6S.778/1997 vom 30. Januar 1998 E. 2c/bb; BGE 102 IV 231 E. 3 S. 233; Hans-Jürgen Bruns, Das Recht der Strafzu-messung, 2. Auflage, Köln/Berlin/Bonn/München 1985, S. 231; Gerhard Schäfer, Praxis der Strafzumessung, 3. Auflage, München 2001, N. 375). Dies ist namentlich der Fall, wenn der Täter mittlerweile ein strafloses Leben führt und aufgrund der Dauer des Wohlverhaltens davon ausgegangen werden kann, dass die Tat einmalig war oder am Ende einer alters- oder entwicklungsbedingten Phase begangen wurde (vgl. Schäfer, a.a.O., N. 390). Zum anderen vermag eine Stabilisierung der Lebensverhältnisse die Strafzumessung unter spezialpräventiven Gesichtspunkten zugunsten des Täters zu beeinflussen. Nach der Rechtsprechung sind Strafen, welche die Resozialisierung des Täters erschweren, nach Möglichkeit zu vermeiden, weshalb bei deren Festsetzung die Folgen der Verurteilung für den Betroffenen zu berücksichtigen sind ( BGE 128 IV 73 E. 4 mit Hinweisen; vgl. auch BGE 123 IV 150 E. 2b S. 154; Günter Stratenwerth, Schweizerisches Strafrecht, Allgemeiner Teil II: Strafen und Massnahmen, Bern 1989, § 7 N. 66; Schäfer, a.a.O., N. 390 und 475). Lässt das Nachtatverhalten des Täters auf Reue und Einsicht schliessen oder zeigt es sonst auf, dass dieser die nötigen Lehren gezogen und durch einen anderen Lebenswandel weiteren Straftaten vorgebeugt hat, ist die Strafe daher zu mindern, wobei sie jedoch dem Verschulden angemessen bleiben muss (vgl. BGE 118 IV 337 E. 2b S. 341). In diesem Rahmen ist auch die Bereitschaft des Täters zu berücksichtigen, sich beispielsweise nach Sexual- oder Drogendelikten freiwillig einer Heilbehandlung oder Entziehungskur zu unterziehen, sofern die Therapiebereitschaft ernst gemeint ist und Aussicht auf Erfolg in dem Sinne verspricht, dass die Zukunftsprognose für den Täter durch die Behandlung verbessert wird (vgl. nicht publiziertes Urteil 6S.668/2001 vom 24. Januar 2002 E. 3b).</w:t>
      </w:r>
    </w:p>
    <w:p>
      <w:r>
        <w:rPr>
          <w:b/>
        </w:rPr>
        <w:t>E. 4.2</w:t>
      </w:r>
    </w:p>
    <w:p>
      <w:r>
        <w:t>Die Vorinstanz stellt sich auf den Standpunkt, dass die straflose Lebensführung des Beschwerdeführers seit seiner Verhaftung sowie die regelmässige psychiatrisch-psychologische Behandlung durch Dr. med. B.______ von ihr nicht strafmindernd berücksichtigt werden dürften. Eine solche Strafreduktion würde den Täter, der eine Berufung einlege, besser stellen, als denjenigen, der auf ein Rechtsmittel verzichte, weshalb sie dem Gleichheitsgebot widerspräche. Der Beschwerdeführer macht zu Recht geltend, dass diese Argumentation nicht überzeugt. Als Berufungsinstanz hatte das Obergericht von den Verhältnissen im Zeitpunkt der Urteils auszugehen und demnach auch ein Wohlverhalten bis zu diesem Zeitpunkt zu berücksichtigen. Das Bundesgericht hat denn auch mit Bezug auf den Strafmilderungsgrund von Art. 64 Abs. 8 StGB ausgeführt, dass im Falle einer Berufung oder Appellation im Zeitpunkt des oberinstanzlichen Urteils zu beurteilen sei, ob eine verhältnismässig lange Zeit verstrichen sei, während der sich der Täter wohl verhalten habe ( BGE 115 IV 95 E. 3 S. 96). Es stellt sich somit die Frage, ob die Vorinstanz eine Strafminderung aus anderen Gründen ablehnen durfte.</w:t>
      </w:r>
    </w:p>
    <w:p>
      <w:r>
        <w:rPr>
          <w:b/>
        </w:rPr>
        <w:t>E. 4.3</w:t>
      </w:r>
    </w:p>
    <w:p>
      <w:r>
        <w:t>Der Beschwerdeführer hat über einen Zeitraum von über zwei Jahren hinweg nahezu regelmässig erhebliche Mengen von Betäubungsmitteln verschiedenster Art verkauft bzw. im Besitz gehabt. Dabei fällt auf, dass er nach der Entlassung aus einer zweimonatigen Untersuchungshaft anfangs 2001 und seiner Verhaftung im Mai 2002 innert kürzester Zeit wieder delinquierte. Vor diesem Hintergrund musste die Vorinstanz nicht annehmen, dass die straflose Lebensführung des Beschwerdeführers seit seiner Tat vom 7. August 2002 dessen Verschulden geringer erscheinen lasse. Allerdings begibt sich der Beschwerdeführer regelmässig für psychiatrische Gespräche zu Dr. med. B.______. Zum Verlauf der Behandlung trifft die Vorinstanz keine näheren Feststellungen. Aus dem kurzen ärztlichen Attest vom 25. Mai 2004, auf das der angefochtene Entscheid verweist, geht nicht hervor, inwieweit sie der Auseinandersetzung mit den Straftaten des Beschwerdeführers dient und ob sie gegebenenfalls konkrete Aussicht auf Erfolg hat. Es ist deshalb auf Grund des festgestellten Sachverhalts nicht möglich zu beurteilen, ob die Teilnahme an den genannten psychiatrischen Gesprächen nach der erwähnten Rechtsprechung strafmindernd zu würdigen ist. Die Sache ist daher in diesem Punkt gemäss Art. 277 StGB zu weiteren Abklärungen an die Vorinstanz zurückzuweisen.</w:t>
      </w:r>
    </w:p>
    <w:p>
      <w:r>
        <w:rPr>
          <w:b/>
        </w:rPr>
        <w:t>E. 5</w:t>
      </w:r>
    </w:p>
    <w:p>
      <w:r>
        <w:t>Demnach ist die Nichtigkeitsbeschwerde gestützt auf Art. 277 StGB gutzuheissen, soweit darauf einzutreten ist, das Urteil des Obergerichts aufzuheben und die Sache zu neuer Entscheidung an die Vorinstanz zurückzuweisen.</w:t>
      </w:r>
    </w:p>
    <w:p>
      <w:r>
        <w:rPr>
          <w:b/>
        </w:rPr>
        <w:t>E. 6</w:t>
      </w:r>
    </w:p>
    <w:p>
      <w:r>
        <w:t>Dem Ausgang des Verfahrens entsprechend werden keine Kosten erhoben (vgl. Art. 278 Abs. 1 BStP ) und ist dem Beschwerdeführer eine angemessene Entschädigung aus der Bundesgerichtskasse auszurichten (vgl.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