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6S.345/2005 vom 19. Oktober 2005</w:t>
      </w:r>
    </w:p>
    <w:p>
      <w:r>
        <w:t>Bundesgericht, 2005-10-19, FR</w:t>
      </w:r>
    </w:p>
    <w:p>
      <w:r>
        <w:rPr>
          <w:b/>
        </w:rPr>
        <w:t xml:space="preserve">Quelle: </w:t>
      </w:r>
      <w:r>
        <w:t>https://mcp.opencaselaw.ch/entscheid/bger_6S.345_2005</w:t>
      </w:r>
    </w:p>
    <w:p>
      <w:r>
        <w:t>FR: TF 6S.345/2005 du 19 octobre 2005</w:t>
      </w:r>
    </w:p>
    <w:p>
      <w:r>
        <w:t>IT: TF 6S.345/2005 del 19 ottobre 2005</w:t>
      </w:r>
    </w:p>
    <w:p>
      <w:pPr>
        <w:pStyle w:val="Heading2"/>
      </w:pPr>
      <w:r>
        <w:t>Regeste</w:t>
      </w:r>
    </w:p>
    <w:p>
      <w:r>
        <w:t>Fixation de la peine (art. 63 CP); inégalité de traitement | Droit pénal (en général)</w:t>
      </w:r>
    </w:p>
    <w:p>
      <w:pPr>
        <w:pStyle w:val="Heading2"/>
      </w:pPr>
      <w:r>
        <w:t>Erwägungen</w:t>
      </w:r>
    </w:p>
    <w:p>
      <w:r>
        <w:rPr>
          <w:b/>
        </w:rPr>
        <w:t>E. 1</w:t>
      </w:r>
    </w:p>
    <w:p>
      <w:r>
        <w:t>Le recourant se plaint d'une violation de l' art. 63 CP .</w:t>
      </w:r>
    </w:p>
    <w:p>
      <w:r>
        <w:rPr>
          <w:b/>
        </w:rPr>
        <w:t>E. 1.1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qui ont été exposés de manière détaillée dans les ATF 117 IV 112 consid. 1 et 116 IV 288 consid. 2a, ont été rappelés récemment dans l' ATF 129 IV 6 consid. 6.1 p. 20/21., auxquels on peut donc se référer. Une inégalité de traitement dans la fixation de la peine peut être examinée dans le cadre d'un pourvoi en nullité ( ATF 120 IV 136 consid. 3a; 116 IV 292 consid. 2; cf. également ATF 117 IV 112 consid. 2b/cc, 401 consid. 4b).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 L'idée de ne pas créer un écart trop important entre deux coaccusés qui ont participé ensemble au même complexe de faits délictueux est cependant soutenable ( ATF 123 IV 150 consid. 2b p. 154).</w:t>
      </w:r>
    </w:p>
    <w:p>
      <w:r>
        <w:rPr>
          <w:b/>
        </w:rPr>
        <w:t>E. 1.2</w:t>
      </w:r>
    </w:p>
    <w:p>
      <w:r>
        <w:t>Le recourant invoque uniquement une inégalité de traitement dans la fixation de la peine, compte tenu de celle qui a été infligée à un accusé jugé le 29 septembre 2004 par le Tribunal correctionnel de Lausanne, pour des faits similaires dans une cause différente. Ce seul jugement rendu dans une autre cause ne constitue toutefois pas une base pour une comparaison valable. Le grief est dès lors infondé.</w:t>
      </w:r>
    </w:p>
    <w:p>
      <w:r>
        <w:rPr>
          <w:b/>
        </w:rPr>
        <w:t>E. 1.3</w:t>
      </w:r>
    </w:p>
    <w:p>
      <w:r>
        <w:t>La peine de trois ans de réclusion infligée au recourant a été fixée dans le cadre légal et sur la base de critères pertinents. Au vu des éléments, tant favorables que défavorables à prendre en compte dans le cas particulier et exposés sous chiffre 5.1 des pages 9 et 10 de l'arrêt attaqué, elle ne paraît pas à ce point sévère que la Cour de cassation doive se voir reprocher un abus de son pouvoir d'appréciation. Elle ne viole donc pas le droit fédéral.</w:t>
      </w:r>
    </w:p>
    <w:p>
      <w:r>
        <w:rPr>
          <w:b/>
        </w:rPr>
        <w:t>E. 2</w:t>
      </w:r>
    </w:p>
    <w:p>
      <w:r>
        <w:t>Le pourvoi doit ainsi être rejeté. Comme il était d'emblée dépourvu de chances de succès, l'assistance judiciaire ne peut être accordée ( art. 152 al. 1 OJ ) et le recourant, qui succombe, supportera les frais ( art. 156 al. 1 OJ et 278 al. 1 PPF), dont le montant sera fixé en tenant compte de sa situation financière.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